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</w:tblGrid>
      <w:tr w:rsidR="003A1C43" w:rsidTr="00626BE5">
        <w:tc>
          <w:tcPr>
            <w:tcW w:w="7298" w:type="dxa"/>
            <w:shd w:val="clear" w:color="auto" w:fill="40CE28"/>
          </w:tcPr>
          <w:p w:rsidR="003A1C43" w:rsidRPr="001759BD" w:rsidRDefault="002D07C2" w:rsidP="001759BD">
            <w:pPr>
              <w:rPr>
                <w:b/>
              </w:rPr>
            </w:pPr>
            <w:r>
              <w:rPr>
                <w:b/>
              </w:rPr>
              <w:t>Il Progetto</w:t>
            </w:r>
          </w:p>
        </w:tc>
      </w:tr>
      <w:tr w:rsidR="003A1C43" w:rsidRPr="00034EC3" w:rsidTr="00626BE5">
        <w:tc>
          <w:tcPr>
            <w:tcW w:w="7298" w:type="dxa"/>
          </w:tcPr>
          <w:p w:rsidR="00D62930" w:rsidRPr="00D62930" w:rsidRDefault="00D62930" w:rsidP="00D62930">
            <w:pPr>
              <w:jc w:val="both"/>
              <w:rPr>
                <w:sz w:val="20"/>
              </w:rPr>
            </w:pPr>
            <w:bookmarkStart w:id="0" w:name="OLE_LINK1"/>
            <w:bookmarkStart w:id="1" w:name="OLE_LINK2"/>
            <w:r>
              <w:rPr>
                <w:sz w:val="20"/>
              </w:rPr>
              <w:t>I</w:t>
            </w:r>
            <w:r w:rsidRPr="00D62930">
              <w:rPr>
                <w:sz w:val="20"/>
              </w:rPr>
              <w:t>ndipendentemente da quale modello di qualità utilizz</w:t>
            </w:r>
            <w:r>
              <w:rPr>
                <w:sz w:val="20"/>
              </w:rPr>
              <w:t>i</w:t>
            </w:r>
            <w:r w:rsidRPr="00D62930">
              <w:rPr>
                <w:sz w:val="20"/>
              </w:rPr>
              <w:t xml:space="preserve"> una scuola</w:t>
            </w:r>
            <w:r>
              <w:rPr>
                <w:sz w:val="20"/>
              </w:rPr>
              <w:t>/</w:t>
            </w:r>
            <w:r w:rsidRPr="00D62930">
              <w:rPr>
                <w:sz w:val="20"/>
              </w:rPr>
              <w:t>centro di formazione, la qualità dell'apprendimento e dell'organizzazione non migliorerà a meno che il personale sia informato, motivato e impegnato nella progettazion</w:t>
            </w:r>
            <w:r>
              <w:rPr>
                <w:sz w:val="20"/>
              </w:rPr>
              <w:t>e</w:t>
            </w:r>
            <w:r w:rsidRPr="00D62930">
              <w:rPr>
                <w:sz w:val="20"/>
              </w:rPr>
              <w:t>, nella realizzazione, nella valutazione e nella revisione del proc</w:t>
            </w:r>
            <w:r>
              <w:rPr>
                <w:sz w:val="20"/>
              </w:rPr>
              <w:t>esso di Gestione per la Qualità</w:t>
            </w:r>
            <w:r w:rsidRPr="00D62930">
              <w:rPr>
                <w:sz w:val="20"/>
              </w:rPr>
              <w:t>.</w:t>
            </w:r>
            <w:r>
              <w:rPr>
                <w:sz w:val="20"/>
              </w:rPr>
              <w:t xml:space="preserve"> C’è l</w:t>
            </w:r>
            <w:r w:rsidRPr="00D62930">
              <w:rPr>
                <w:sz w:val="20"/>
              </w:rPr>
              <w:t xml:space="preserve">a necessità di linee guida che ne </w:t>
            </w:r>
            <w:r>
              <w:rPr>
                <w:sz w:val="20"/>
              </w:rPr>
              <w:t xml:space="preserve">mettano </w:t>
            </w:r>
            <w:r w:rsidRPr="00D62930">
              <w:rPr>
                <w:sz w:val="20"/>
              </w:rPr>
              <w:t xml:space="preserve">la leadership </w:t>
            </w:r>
            <w:r>
              <w:rPr>
                <w:sz w:val="20"/>
              </w:rPr>
              <w:t>di</w:t>
            </w:r>
            <w:r w:rsidRPr="00D62930">
              <w:rPr>
                <w:sz w:val="20"/>
              </w:rPr>
              <w:t xml:space="preserve"> una scuola / centro di formazione </w:t>
            </w:r>
            <w:r>
              <w:rPr>
                <w:sz w:val="20"/>
              </w:rPr>
              <w:t>nelle migliori condizioni di</w:t>
            </w:r>
            <w:r w:rsidRPr="00D62930">
              <w:rPr>
                <w:sz w:val="20"/>
              </w:rPr>
              <w:t xml:space="preserve"> motivare e coinvolgere il personale docente per una partecipazione attiva </w:t>
            </w:r>
            <w:r>
              <w:rPr>
                <w:sz w:val="20"/>
              </w:rPr>
              <w:t>nelle</w:t>
            </w:r>
            <w:r w:rsidRPr="00D62930">
              <w:rPr>
                <w:sz w:val="20"/>
              </w:rPr>
              <w:t xml:space="preserve"> iniziative di qualità .</w:t>
            </w:r>
          </w:p>
          <w:p w:rsidR="00D62930" w:rsidRPr="00D62930" w:rsidRDefault="00D62930" w:rsidP="00D62930">
            <w:pPr>
              <w:jc w:val="both"/>
              <w:rPr>
                <w:sz w:val="20"/>
              </w:rPr>
            </w:pPr>
            <w:r w:rsidRPr="00D62930">
              <w:rPr>
                <w:sz w:val="20"/>
              </w:rPr>
              <w:t>Linee guida che rafforz</w:t>
            </w:r>
            <w:r>
              <w:rPr>
                <w:sz w:val="20"/>
              </w:rPr>
              <w:t>ino</w:t>
            </w:r>
            <w:r w:rsidRPr="00D62930">
              <w:rPr>
                <w:sz w:val="20"/>
              </w:rPr>
              <w:t xml:space="preserve"> la leadership nel </w:t>
            </w:r>
            <w:r>
              <w:rPr>
                <w:sz w:val="20"/>
              </w:rPr>
              <w:t>evidenziare</w:t>
            </w:r>
            <w:r w:rsidRPr="00D62930">
              <w:rPr>
                <w:sz w:val="20"/>
              </w:rPr>
              <w:t xml:space="preserve"> che </w:t>
            </w:r>
            <w:r>
              <w:rPr>
                <w:sz w:val="20"/>
              </w:rPr>
              <w:t>ogni</w:t>
            </w:r>
            <w:r w:rsidRPr="00D62930">
              <w:rPr>
                <w:sz w:val="20"/>
              </w:rPr>
              <w:t xml:space="preserve"> iniziative di qualità :</w:t>
            </w:r>
          </w:p>
          <w:p w:rsidR="00D62930" w:rsidRPr="00D62930" w:rsidRDefault="00D62930" w:rsidP="00D62930">
            <w:pPr>
              <w:jc w:val="both"/>
              <w:rPr>
                <w:sz w:val="20"/>
              </w:rPr>
            </w:pPr>
            <w:r w:rsidRPr="00D62930">
              <w:rPr>
                <w:sz w:val="20"/>
              </w:rPr>
              <w:t xml:space="preserve">a) incoraggia gli insegnanti a guardare </w:t>
            </w:r>
            <w:r>
              <w:rPr>
                <w:sz w:val="20"/>
              </w:rPr>
              <w:t xml:space="preserve">a </w:t>
            </w:r>
            <w:r w:rsidRPr="00D62930">
              <w:rPr>
                <w:sz w:val="20"/>
              </w:rPr>
              <w:t>diversi modi per migliorare la didattica ;</w:t>
            </w:r>
          </w:p>
          <w:p w:rsidR="00D62930" w:rsidRPr="00D62930" w:rsidRDefault="00D62930" w:rsidP="00D62930">
            <w:pPr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D62930">
              <w:rPr>
                <w:sz w:val="20"/>
              </w:rPr>
              <w:t>) inc</w:t>
            </w:r>
            <w:r>
              <w:rPr>
                <w:sz w:val="20"/>
              </w:rPr>
              <w:t>oraggia gli insegnanti ad auto-</w:t>
            </w:r>
            <w:r w:rsidRPr="00D62930">
              <w:rPr>
                <w:sz w:val="20"/>
              </w:rPr>
              <w:t>valutare e riflettere sulle pratiche di insegnamento;</w:t>
            </w:r>
          </w:p>
          <w:p w:rsidR="00D62930" w:rsidRPr="00D62930" w:rsidRDefault="00D62930" w:rsidP="00D62930">
            <w:pPr>
              <w:jc w:val="both"/>
              <w:rPr>
                <w:sz w:val="20"/>
              </w:rPr>
            </w:pPr>
            <w:r w:rsidRPr="00D62930">
              <w:rPr>
                <w:sz w:val="20"/>
              </w:rPr>
              <w:t>c) crea una visione condivisa per l'istruzione e l'insegnamento ;</w:t>
            </w:r>
          </w:p>
          <w:p w:rsidR="00D62930" w:rsidRPr="00D62930" w:rsidRDefault="00D62930" w:rsidP="00D62930">
            <w:pPr>
              <w:jc w:val="both"/>
              <w:rPr>
                <w:sz w:val="20"/>
              </w:rPr>
            </w:pPr>
            <w:r w:rsidRPr="00D62930">
              <w:rPr>
                <w:sz w:val="20"/>
              </w:rPr>
              <w:t>d) crea maggiore entusiasmo per l' insegnamento e l'apprendimento ;</w:t>
            </w:r>
          </w:p>
          <w:p w:rsidR="00D62930" w:rsidRPr="00D62930" w:rsidRDefault="00D62930" w:rsidP="00D62930">
            <w:pPr>
              <w:jc w:val="both"/>
              <w:rPr>
                <w:sz w:val="20"/>
              </w:rPr>
            </w:pPr>
            <w:r w:rsidRPr="00D62930">
              <w:rPr>
                <w:sz w:val="20"/>
              </w:rPr>
              <w:t>e porta a</w:t>
            </w:r>
            <w:r>
              <w:rPr>
                <w:sz w:val="20"/>
              </w:rPr>
              <w:t>d</w:t>
            </w:r>
            <w:r w:rsidRPr="00D62930">
              <w:rPr>
                <w:sz w:val="20"/>
              </w:rPr>
              <w:t xml:space="preserve"> una maggiore coesione e collaborazione tra gli insegnanti ;</w:t>
            </w:r>
          </w:p>
          <w:p w:rsidR="00D62930" w:rsidRPr="00D62930" w:rsidRDefault="00D62930" w:rsidP="00D62930">
            <w:pPr>
              <w:jc w:val="both"/>
              <w:rPr>
                <w:sz w:val="20"/>
              </w:rPr>
            </w:pPr>
            <w:r w:rsidRPr="00D62930">
              <w:rPr>
                <w:sz w:val="20"/>
              </w:rPr>
              <w:t>f  incoraggia gli insegnanti ad essere più innovativ</w:t>
            </w:r>
            <w:r>
              <w:rPr>
                <w:sz w:val="20"/>
              </w:rPr>
              <w:t>i</w:t>
            </w:r>
            <w:r w:rsidRPr="00D62930">
              <w:rPr>
                <w:sz w:val="20"/>
              </w:rPr>
              <w:t xml:space="preserve"> e flessibili ;</w:t>
            </w:r>
          </w:p>
          <w:p w:rsidR="00D62930" w:rsidRPr="00D62930" w:rsidRDefault="00D62930" w:rsidP="00D62930">
            <w:pPr>
              <w:jc w:val="both"/>
              <w:rPr>
                <w:sz w:val="20"/>
              </w:rPr>
            </w:pPr>
            <w:r w:rsidRPr="00D62930">
              <w:rPr>
                <w:sz w:val="20"/>
              </w:rPr>
              <w:t>g) aumenta il potere e la responsabilità , e quindi la soddisfazione ;</w:t>
            </w:r>
          </w:p>
          <w:p w:rsidR="00D62930" w:rsidRPr="00D62930" w:rsidRDefault="00D62930" w:rsidP="00D62930">
            <w:pPr>
              <w:jc w:val="both"/>
              <w:rPr>
                <w:sz w:val="20"/>
              </w:rPr>
            </w:pPr>
            <w:r w:rsidRPr="00D62930">
              <w:rPr>
                <w:sz w:val="20"/>
              </w:rPr>
              <w:t>h) porta al continuo aggiornamento delle competenze ;</w:t>
            </w:r>
          </w:p>
          <w:p w:rsidR="003A1C43" w:rsidRPr="00D62930" w:rsidRDefault="00D62930" w:rsidP="00D62930">
            <w:pPr>
              <w:tabs>
                <w:tab w:val="left" w:pos="210"/>
              </w:tabs>
              <w:jc w:val="both"/>
              <w:rPr>
                <w:sz w:val="20"/>
              </w:rPr>
            </w:pPr>
            <w:r w:rsidRPr="00D62930">
              <w:rPr>
                <w:sz w:val="20"/>
              </w:rPr>
              <w:t xml:space="preserve">i) </w:t>
            </w:r>
            <w:r>
              <w:rPr>
                <w:sz w:val="20"/>
              </w:rPr>
              <w:t xml:space="preserve">crea </w:t>
            </w:r>
            <w:r w:rsidRPr="00D62930">
              <w:rPr>
                <w:sz w:val="20"/>
              </w:rPr>
              <w:t>ne</w:t>
            </w:r>
            <w:r>
              <w:rPr>
                <w:sz w:val="20"/>
              </w:rPr>
              <w:t>l</w:t>
            </w:r>
            <w:r w:rsidRPr="00D62930">
              <w:rPr>
                <w:sz w:val="20"/>
              </w:rPr>
              <w:t xml:space="preserve"> team </w:t>
            </w:r>
            <w:r>
              <w:rPr>
                <w:sz w:val="20"/>
              </w:rPr>
              <w:t>un “ethos” condiviso</w:t>
            </w:r>
            <w:r w:rsidRPr="00D62930">
              <w:rPr>
                <w:sz w:val="20"/>
              </w:rPr>
              <w:t>.</w:t>
            </w:r>
            <w:r w:rsidR="00401FA8" w:rsidRPr="00D62930">
              <w:rPr>
                <w:sz w:val="20"/>
              </w:rPr>
              <w:t>.</w:t>
            </w:r>
            <w:bookmarkEnd w:id="0"/>
            <w:bookmarkEnd w:id="1"/>
          </w:p>
        </w:tc>
      </w:tr>
      <w:tr w:rsidR="003A1C43" w:rsidRPr="00B60595" w:rsidTr="00626BE5">
        <w:tc>
          <w:tcPr>
            <w:tcW w:w="7298" w:type="dxa"/>
            <w:shd w:val="clear" w:color="auto" w:fill="40CE28"/>
          </w:tcPr>
          <w:p w:rsidR="003A1C43" w:rsidRPr="001759BD" w:rsidRDefault="002D07C2" w:rsidP="00396FB4">
            <w:pPr>
              <w:rPr>
                <w:sz w:val="20"/>
                <w:lang w:val="en-GB"/>
              </w:rPr>
            </w:pPr>
            <w:r>
              <w:rPr>
                <w:b/>
              </w:rPr>
              <w:t>Le fasi</w:t>
            </w:r>
            <w:r w:rsidR="00396FB4">
              <w:rPr>
                <w:b/>
              </w:rPr>
              <w:t xml:space="preserve"> </w:t>
            </w:r>
          </w:p>
        </w:tc>
      </w:tr>
      <w:tr w:rsidR="00D62930" w:rsidRPr="00D62930" w:rsidTr="00626BE5">
        <w:tc>
          <w:tcPr>
            <w:tcW w:w="7298" w:type="dxa"/>
          </w:tcPr>
          <w:p w:rsidR="00D62930" w:rsidRDefault="00D62930">
            <w:r w:rsidRPr="00663C63">
              <w:t>1. Pianificazione 2. Attuazione 3. Verifica e Valutazione 4. retroazione</w:t>
            </w:r>
          </w:p>
        </w:tc>
      </w:tr>
      <w:tr w:rsidR="003A1C43" w:rsidRPr="00034EC3" w:rsidTr="00626BE5">
        <w:tc>
          <w:tcPr>
            <w:tcW w:w="7298" w:type="dxa"/>
            <w:shd w:val="clear" w:color="auto" w:fill="40CE28"/>
          </w:tcPr>
          <w:p w:rsidR="003A1C43" w:rsidRPr="001759BD" w:rsidRDefault="002D07C2" w:rsidP="00B60595">
            <w:pPr>
              <w:rPr>
                <w:sz w:val="2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Durata</w:t>
            </w:r>
            <w:proofErr w:type="spellEnd"/>
            <w:r>
              <w:rPr>
                <w:b/>
                <w:lang w:val="en-GB"/>
              </w:rPr>
              <w:t xml:space="preserve"> del </w:t>
            </w:r>
            <w:proofErr w:type="spellStart"/>
            <w:r>
              <w:rPr>
                <w:b/>
                <w:lang w:val="en-GB"/>
              </w:rPr>
              <w:t>progetto</w:t>
            </w:r>
            <w:proofErr w:type="spellEnd"/>
          </w:p>
        </w:tc>
      </w:tr>
      <w:tr w:rsidR="00B60595" w:rsidRPr="00B60595" w:rsidTr="00626BE5">
        <w:tc>
          <w:tcPr>
            <w:tcW w:w="7298" w:type="dxa"/>
          </w:tcPr>
          <w:p w:rsidR="00B60595" w:rsidRPr="001759BD" w:rsidRDefault="00B60595" w:rsidP="00D62930">
            <w:pPr>
              <w:rPr>
                <w:sz w:val="20"/>
                <w:lang w:val="en-GB"/>
              </w:rPr>
            </w:pPr>
            <w:proofErr w:type="spellStart"/>
            <w:r w:rsidRPr="001759BD">
              <w:rPr>
                <w:sz w:val="20"/>
                <w:lang w:val="en-GB"/>
              </w:rPr>
              <w:t>Novemb</w:t>
            </w:r>
            <w:r w:rsidR="00D62930">
              <w:rPr>
                <w:sz w:val="20"/>
                <w:lang w:val="en-GB"/>
              </w:rPr>
              <w:t>r</w:t>
            </w:r>
            <w:r w:rsidRPr="001759BD">
              <w:rPr>
                <w:sz w:val="20"/>
                <w:lang w:val="en-GB"/>
              </w:rPr>
              <w:t>e</w:t>
            </w:r>
            <w:proofErr w:type="spellEnd"/>
            <w:r w:rsidRPr="001759BD">
              <w:rPr>
                <w:sz w:val="20"/>
                <w:lang w:val="en-GB"/>
              </w:rPr>
              <w:t xml:space="preserve"> 2012 </w:t>
            </w:r>
            <w:proofErr w:type="spellStart"/>
            <w:r w:rsidR="00D62930">
              <w:rPr>
                <w:sz w:val="20"/>
                <w:lang w:val="en-GB"/>
              </w:rPr>
              <w:t>Ottobre</w:t>
            </w:r>
            <w:proofErr w:type="spellEnd"/>
            <w:r w:rsidRPr="001759BD">
              <w:rPr>
                <w:sz w:val="20"/>
                <w:lang w:val="en-GB"/>
              </w:rPr>
              <w:t xml:space="preserve"> 2015</w:t>
            </w:r>
          </w:p>
        </w:tc>
      </w:tr>
      <w:tr w:rsidR="003A1C43" w:rsidRPr="00034EC3" w:rsidTr="00626BE5">
        <w:tc>
          <w:tcPr>
            <w:tcW w:w="7298" w:type="dxa"/>
            <w:shd w:val="clear" w:color="auto" w:fill="40CE28"/>
          </w:tcPr>
          <w:p w:rsidR="003A1C43" w:rsidRPr="00396FB4" w:rsidRDefault="002D07C2" w:rsidP="002D07C2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Obietivi</w:t>
            </w:r>
            <w:proofErr w:type="spellEnd"/>
            <w:r>
              <w:rPr>
                <w:b/>
                <w:lang w:val="en-GB"/>
              </w:rPr>
              <w:t xml:space="preserve"> e </w:t>
            </w:r>
            <w:proofErr w:type="spellStart"/>
            <w:r>
              <w:rPr>
                <w:b/>
                <w:lang w:val="en-GB"/>
              </w:rPr>
              <w:t>Finalità</w:t>
            </w:r>
            <w:proofErr w:type="spellEnd"/>
          </w:p>
        </w:tc>
      </w:tr>
      <w:tr w:rsidR="003A1C43" w:rsidRPr="00AF458A" w:rsidTr="00626BE5">
        <w:trPr>
          <w:trHeight w:val="1813"/>
        </w:trPr>
        <w:tc>
          <w:tcPr>
            <w:tcW w:w="7298" w:type="dxa"/>
          </w:tcPr>
          <w:p w:rsidR="00AF458A" w:rsidRPr="00AF458A" w:rsidRDefault="00AF458A" w:rsidP="00AF458A">
            <w:pPr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F458A">
              <w:rPr>
                <w:sz w:val="20"/>
              </w:rPr>
              <w:t>viluppare una serie di linee guida che rafforz</w:t>
            </w:r>
            <w:r>
              <w:rPr>
                <w:sz w:val="20"/>
              </w:rPr>
              <w:t>ino</w:t>
            </w:r>
            <w:r w:rsidRPr="00AF458A">
              <w:rPr>
                <w:sz w:val="20"/>
              </w:rPr>
              <w:t xml:space="preserve"> ed abilit</w:t>
            </w:r>
            <w:r>
              <w:rPr>
                <w:sz w:val="20"/>
              </w:rPr>
              <w:t>ino</w:t>
            </w:r>
            <w:r w:rsidRPr="00AF458A">
              <w:rPr>
                <w:sz w:val="20"/>
              </w:rPr>
              <w:t xml:space="preserve"> la leadership </w:t>
            </w:r>
            <w:r>
              <w:rPr>
                <w:sz w:val="20"/>
              </w:rPr>
              <w:t>nel</w:t>
            </w:r>
            <w:r w:rsidRPr="00AF458A">
              <w:rPr>
                <w:sz w:val="20"/>
              </w:rPr>
              <w:t xml:space="preserve"> motivare e coinvolgere il personale docente in iniziative di </w:t>
            </w:r>
            <w:r>
              <w:rPr>
                <w:sz w:val="20"/>
              </w:rPr>
              <w:t>“</w:t>
            </w:r>
            <w:r w:rsidRPr="00AF458A">
              <w:rPr>
                <w:sz w:val="20"/>
              </w:rPr>
              <w:t>Q</w:t>
            </w:r>
            <w:r>
              <w:rPr>
                <w:sz w:val="20"/>
              </w:rPr>
              <w:t xml:space="preserve">UALITY </w:t>
            </w:r>
            <w:r w:rsidRPr="00AF458A">
              <w:rPr>
                <w:sz w:val="20"/>
              </w:rPr>
              <w:t>A</w:t>
            </w:r>
            <w:r>
              <w:rPr>
                <w:sz w:val="20"/>
              </w:rPr>
              <w:t>SSURANCE”</w:t>
            </w:r>
            <w:r w:rsidRPr="00AF458A">
              <w:rPr>
                <w:sz w:val="20"/>
              </w:rPr>
              <w:t>.</w:t>
            </w:r>
          </w:p>
          <w:p w:rsidR="00AF458A" w:rsidRPr="00AF458A" w:rsidRDefault="00AF458A" w:rsidP="00AF458A">
            <w:pPr>
              <w:jc w:val="both"/>
              <w:rPr>
                <w:sz w:val="20"/>
              </w:rPr>
            </w:pPr>
            <w:r w:rsidRPr="00AF458A">
              <w:rPr>
                <w:sz w:val="20"/>
              </w:rPr>
              <w:t>Le linee guida sulle strategie istituzionali che promuovono l'approccio partecipativo per garantire il coinvolgimento del corpo docente sar</w:t>
            </w:r>
            <w:r>
              <w:rPr>
                <w:sz w:val="20"/>
              </w:rPr>
              <w:t>anno</w:t>
            </w:r>
            <w:r w:rsidRPr="00AF458A">
              <w:rPr>
                <w:sz w:val="20"/>
              </w:rPr>
              <w:t xml:space="preserve"> costituito da direttive, </w:t>
            </w:r>
            <w:r>
              <w:rPr>
                <w:sz w:val="20"/>
              </w:rPr>
              <w:t>o</w:t>
            </w:r>
            <w:r w:rsidRPr="00AF458A">
              <w:rPr>
                <w:sz w:val="20"/>
              </w:rPr>
              <w:t xml:space="preserve">rientamenti e manuali che </w:t>
            </w:r>
            <w:r>
              <w:rPr>
                <w:sz w:val="20"/>
              </w:rPr>
              <w:t>affrontano</w:t>
            </w:r>
            <w:r w:rsidRPr="00AF458A">
              <w:rPr>
                <w:sz w:val="20"/>
              </w:rPr>
              <w:t xml:space="preserve"> le seguenti questioni:</w:t>
            </w:r>
          </w:p>
          <w:p w:rsidR="00AF458A" w:rsidRPr="00AF458A" w:rsidRDefault="00AF458A" w:rsidP="00AF458A">
            <w:pPr>
              <w:jc w:val="both"/>
              <w:rPr>
                <w:sz w:val="20"/>
              </w:rPr>
            </w:pPr>
            <w:r w:rsidRPr="00AF458A">
              <w:rPr>
                <w:sz w:val="20"/>
              </w:rPr>
              <w:t>1. Come creare consapevolezza sull</w:t>
            </w:r>
            <w:r>
              <w:rPr>
                <w:sz w:val="20"/>
              </w:rPr>
              <w:t xml:space="preserve">’assicurazione della qualità ed i </w:t>
            </w:r>
            <w:r w:rsidRPr="00AF458A">
              <w:rPr>
                <w:sz w:val="20"/>
              </w:rPr>
              <w:t>suoi benefici</w:t>
            </w:r>
          </w:p>
          <w:p w:rsidR="00AF458A" w:rsidRPr="00AF458A" w:rsidRDefault="00AF458A" w:rsidP="00AF458A">
            <w:pPr>
              <w:jc w:val="both"/>
              <w:rPr>
                <w:sz w:val="20"/>
              </w:rPr>
            </w:pPr>
            <w:r w:rsidRPr="00AF458A">
              <w:rPr>
                <w:sz w:val="20"/>
              </w:rPr>
              <w:t>2. Come coinvolgere il personale nella scelta del modello di assicurazione della qualità</w:t>
            </w:r>
          </w:p>
          <w:p w:rsidR="00AF458A" w:rsidRPr="00AF458A" w:rsidRDefault="00AF458A" w:rsidP="00AF458A">
            <w:pPr>
              <w:jc w:val="both"/>
              <w:rPr>
                <w:sz w:val="20"/>
              </w:rPr>
            </w:pPr>
            <w:r w:rsidRPr="00AF458A">
              <w:rPr>
                <w:sz w:val="20"/>
              </w:rPr>
              <w:t>3. Come coinvolgere il personale nella</w:t>
            </w:r>
            <w:r>
              <w:rPr>
                <w:sz w:val="20"/>
              </w:rPr>
              <w:t xml:space="preserve"> pianificazione delle iniziative di q</w:t>
            </w:r>
            <w:r w:rsidRPr="00AF458A">
              <w:rPr>
                <w:sz w:val="20"/>
              </w:rPr>
              <w:t>ualità</w:t>
            </w:r>
          </w:p>
          <w:p w:rsidR="00AF458A" w:rsidRPr="00AF458A" w:rsidRDefault="00AF458A" w:rsidP="00AF458A">
            <w:pPr>
              <w:jc w:val="both"/>
              <w:rPr>
                <w:sz w:val="20"/>
              </w:rPr>
            </w:pPr>
            <w:r w:rsidRPr="00AF458A">
              <w:rPr>
                <w:sz w:val="20"/>
              </w:rPr>
              <w:t>4. Come mantenere l'impegno del personale docente nel processo attua</w:t>
            </w:r>
            <w:r>
              <w:rPr>
                <w:sz w:val="20"/>
              </w:rPr>
              <w:t>tivo</w:t>
            </w:r>
          </w:p>
          <w:p w:rsidR="00AF458A" w:rsidRPr="00AF458A" w:rsidRDefault="00AF458A" w:rsidP="00AF458A">
            <w:pPr>
              <w:jc w:val="both"/>
              <w:rPr>
                <w:sz w:val="20"/>
              </w:rPr>
            </w:pPr>
            <w:r w:rsidRPr="00AF458A">
              <w:rPr>
                <w:sz w:val="20"/>
              </w:rPr>
              <w:t>5. Come pianificare con i docent</w:t>
            </w:r>
            <w:r>
              <w:rPr>
                <w:sz w:val="20"/>
              </w:rPr>
              <w:t>i</w:t>
            </w:r>
            <w:r w:rsidRPr="00AF458A">
              <w:rPr>
                <w:sz w:val="20"/>
              </w:rPr>
              <w:t xml:space="preserve"> il processo di valutazione dei risultati </w:t>
            </w:r>
          </w:p>
          <w:p w:rsidR="00AF458A" w:rsidRPr="00AF458A" w:rsidRDefault="00AF458A" w:rsidP="00AF458A">
            <w:pPr>
              <w:jc w:val="both"/>
              <w:rPr>
                <w:sz w:val="20"/>
              </w:rPr>
            </w:pPr>
            <w:r w:rsidRPr="00AF458A">
              <w:rPr>
                <w:sz w:val="20"/>
              </w:rPr>
              <w:t>6. Come rivedere e pianificare il miglioramento delle attività di istruzione e formazione professionale-</w:t>
            </w:r>
          </w:p>
          <w:p w:rsidR="00626BE5" w:rsidRPr="00AF458A" w:rsidRDefault="00AF458A" w:rsidP="00AF458A">
            <w:pPr>
              <w:tabs>
                <w:tab w:val="left" w:pos="225"/>
              </w:tabs>
              <w:ind w:left="142" w:hanging="142"/>
              <w:jc w:val="both"/>
              <w:rPr>
                <w:sz w:val="20"/>
              </w:rPr>
            </w:pPr>
            <w:r w:rsidRPr="00AF458A">
              <w:rPr>
                <w:sz w:val="20"/>
              </w:rPr>
              <w:t>7. Come tradurre tutto questo in uno stile di leadership e nella promozione di una visione condivisa per l'istruzione</w:t>
            </w:r>
          </w:p>
        </w:tc>
      </w:tr>
      <w:tr w:rsidR="00F83177" w:rsidTr="00626BE5">
        <w:tc>
          <w:tcPr>
            <w:tcW w:w="7298" w:type="dxa"/>
            <w:shd w:val="clear" w:color="auto" w:fill="40CE28"/>
          </w:tcPr>
          <w:p w:rsidR="00F83177" w:rsidRPr="001E4AFC" w:rsidRDefault="002D07C2" w:rsidP="006302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Programma</w:t>
            </w:r>
          </w:p>
        </w:tc>
      </w:tr>
      <w:tr w:rsidR="00F83177" w:rsidTr="00626BE5">
        <w:tc>
          <w:tcPr>
            <w:tcW w:w="7298" w:type="dxa"/>
          </w:tcPr>
          <w:p w:rsidR="00626BE5" w:rsidRPr="001759BD" w:rsidRDefault="00626BE5" w:rsidP="00630210">
            <w:pPr>
              <w:rPr>
                <w:sz w:val="20"/>
              </w:rPr>
            </w:pPr>
          </w:p>
        </w:tc>
      </w:tr>
      <w:tr w:rsidR="00F83177" w:rsidRPr="00034EC3" w:rsidTr="00626BE5">
        <w:tc>
          <w:tcPr>
            <w:tcW w:w="7298" w:type="dxa"/>
          </w:tcPr>
          <w:p w:rsidR="00034EC3" w:rsidRPr="00034EC3" w:rsidRDefault="00034EC3" w:rsidP="00034EC3">
            <w:pPr>
              <w:ind w:left="851" w:hanging="851"/>
              <w:rPr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09:00</w:t>
            </w:r>
            <w:r w:rsidRPr="00034EC3">
              <w:rPr>
                <w:sz w:val="16"/>
                <w:szCs w:val="16"/>
              </w:rPr>
              <w:tab/>
              <w:t>Caffè di benvenuto e   registrazione Partecipanti</w:t>
            </w:r>
          </w:p>
          <w:p w:rsidR="00034EC3" w:rsidRPr="00034EC3" w:rsidRDefault="00034EC3" w:rsidP="00034EC3">
            <w:pPr>
              <w:ind w:left="851" w:hanging="851"/>
              <w:rPr>
                <w:i/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09:30</w:t>
            </w:r>
            <w:r w:rsidRPr="00034EC3">
              <w:rPr>
                <w:sz w:val="16"/>
                <w:szCs w:val="16"/>
              </w:rPr>
              <w:tab/>
              <w:t>Saluti delle Autorità</w:t>
            </w:r>
            <w:r w:rsidRPr="00034EC3">
              <w:rPr>
                <w:sz w:val="16"/>
                <w:szCs w:val="16"/>
              </w:rPr>
              <w:br/>
            </w:r>
            <w:r w:rsidRPr="00034EC3">
              <w:rPr>
                <w:i/>
                <w:sz w:val="16"/>
                <w:szCs w:val="16"/>
              </w:rPr>
              <w:t>USR Friuli Venezia Giulia</w:t>
            </w:r>
            <w:r w:rsidRPr="00034EC3">
              <w:rPr>
                <w:i/>
                <w:sz w:val="16"/>
                <w:szCs w:val="16"/>
              </w:rPr>
              <w:br/>
              <w:t>Rettore Università degli Studi di Udine</w:t>
            </w:r>
            <w:r w:rsidRPr="00034EC3">
              <w:rPr>
                <w:i/>
                <w:sz w:val="16"/>
                <w:szCs w:val="16"/>
              </w:rPr>
              <w:br/>
              <w:t>Direzione centrale Istruzione lavoro e formazione</w:t>
            </w:r>
          </w:p>
          <w:p w:rsidR="00034EC3" w:rsidRPr="00034EC3" w:rsidRDefault="00034EC3" w:rsidP="00034EC3">
            <w:pPr>
              <w:ind w:left="851" w:hanging="851"/>
              <w:rPr>
                <w:i/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10:00</w:t>
            </w:r>
            <w:r w:rsidRPr="00034EC3">
              <w:rPr>
                <w:sz w:val="16"/>
                <w:szCs w:val="16"/>
              </w:rPr>
              <w:tab/>
              <w:t>Presentazione dei contenuti e quadro di riferimento</w:t>
            </w:r>
            <w:r w:rsidRPr="00034EC3">
              <w:rPr>
                <w:sz w:val="16"/>
                <w:szCs w:val="16"/>
              </w:rPr>
              <w:br/>
            </w:r>
            <w:r w:rsidRPr="00034EC3">
              <w:rPr>
                <w:i/>
                <w:sz w:val="16"/>
                <w:szCs w:val="16"/>
              </w:rPr>
              <w:t>Arturo Campanella</w:t>
            </w:r>
          </w:p>
          <w:p w:rsidR="00034EC3" w:rsidRPr="00034EC3" w:rsidRDefault="00034EC3" w:rsidP="00034EC3">
            <w:pPr>
              <w:ind w:left="851" w:hanging="851"/>
              <w:rPr>
                <w:i/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10,15</w:t>
            </w:r>
            <w:r w:rsidRPr="00034EC3">
              <w:rPr>
                <w:sz w:val="16"/>
                <w:szCs w:val="16"/>
              </w:rPr>
              <w:tab/>
              <w:t>presentazione progetto – strumenti e metodi</w:t>
            </w:r>
            <w:r w:rsidRPr="00034EC3">
              <w:rPr>
                <w:sz w:val="16"/>
                <w:szCs w:val="16"/>
              </w:rPr>
              <w:br/>
            </w:r>
            <w:r w:rsidRPr="00034EC3">
              <w:rPr>
                <w:i/>
                <w:sz w:val="16"/>
                <w:szCs w:val="16"/>
              </w:rPr>
              <w:t>Roger Van de Winkel - Revalento</w:t>
            </w:r>
          </w:p>
          <w:p w:rsidR="00034EC3" w:rsidRPr="00034EC3" w:rsidRDefault="00034EC3" w:rsidP="00034EC3">
            <w:pPr>
              <w:ind w:left="851" w:hanging="851"/>
              <w:rPr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11,15</w:t>
            </w:r>
            <w:r w:rsidRPr="00034EC3">
              <w:rPr>
                <w:sz w:val="16"/>
                <w:szCs w:val="16"/>
              </w:rPr>
              <w:tab/>
              <w:t>coffee break</w:t>
            </w:r>
          </w:p>
          <w:p w:rsidR="00034EC3" w:rsidRPr="00034EC3" w:rsidRDefault="00034EC3" w:rsidP="00034EC3">
            <w:pPr>
              <w:ind w:left="851" w:hanging="851"/>
              <w:rPr>
                <w:i/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11.40</w:t>
            </w:r>
            <w:r w:rsidRPr="00034EC3">
              <w:rPr>
                <w:sz w:val="16"/>
                <w:szCs w:val="16"/>
              </w:rPr>
              <w:tab/>
              <w:t>Il primo questionario - presentazione esiti</w:t>
            </w:r>
            <w:r w:rsidRPr="00034EC3">
              <w:rPr>
                <w:sz w:val="16"/>
                <w:szCs w:val="16"/>
              </w:rPr>
              <w:br/>
            </w:r>
            <w:r w:rsidRPr="00034EC3">
              <w:rPr>
                <w:i/>
                <w:sz w:val="16"/>
                <w:szCs w:val="16"/>
              </w:rPr>
              <w:t>Valentina Feletti - Arturo Campanella</w:t>
            </w:r>
          </w:p>
          <w:p w:rsidR="00034EC3" w:rsidRPr="00034EC3" w:rsidRDefault="00034EC3" w:rsidP="00034EC3">
            <w:pPr>
              <w:tabs>
                <w:tab w:val="left" w:pos="3969"/>
              </w:tabs>
              <w:ind w:left="851" w:hanging="851"/>
              <w:rPr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12:20</w:t>
            </w:r>
            <w:r w:rsidRPr="00034EC3">
              <w:rPr>
                <w:sz w:val="16"/>
                <w:szCs w:val="16"/>
              </w:rPr>
              <w:tab/>
              <w:t>buone prassi  – Testimonial 1</w:t>
            </w:r>
            <w:r w:rsidRPr="00034EC3">
              <w:rPr>
                <w:sz w:val="16"/>
                <w:szCs w:val="16"/>
              </w:rPr>
              <w:tab/>
            </w:r>
            <w:r w:rsidRPr="00034EC3">
              <w:rPr>
                <w:i/>
                <w:sz w:val="16"/>
                <w:szCs w:val="16"/>
              </w:rPr>
              <w:t>ISIS Tolmezzo</w:t>
            </w:r>
          </w:p>
          <w:p w:rsidR="00034EC3" w:rsidRPr="00034EC3" w:rsidRDefault="00034EC3" w:rsidP="00034EC3">
            <w:pPr>
              <w:ind w:left="851" w:hanging="851"/>
              <w:rPr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 xml:space="preserve">13,00 </w:t>
            </w:r>
            <w:r w:rsidRPr="00034EC3">
              <w:rPr>
                <w:sz w:val="16"/>
                <w:szCs w:val="16"/>
              </w:rPr>
              <w:tab/>
              <w:t>Pranzo</w:t>
            </w:r>
          </w:p>
          <w:p w:rsidR="00034EC3" w:rsidRPr="00034EC3" w:rsidRDefault="00034EC3" w:rsidP="00034EC3">
            <w:pPr>
              <w:tabs>
                <w:tab w:val="left" w:pos="3969"/>
              </w:tabs>
              <w:ind w:left="851" w:hanging="851"/>
              <w:rPr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14:20</w:t>
            </w:r>
            <w:r w:rsidRPr="00034EC3">
              <w:rPr>
                <w:sz w:val="16"/>
                <w:szCs w:val="16"/>
              </w:rPr>
              <w:tab/>
              <w:t>buone prassi  – Testimonial 2</w:t>
            </w:r>
            <w:r w:rsidRPr="00034EC3">
              <w:rPr>
                <w:i/>
                <w:sz w:val="16"/>
                <w:szCs w:val="16"/>
              </w:rPr>
              <w:tab/>
              <w:t>ISIS Stringher</w:t>
            </w:r>
          </w:p>
          <w:p w:rsidR="00034EC3" w:rsidRPr="00034EC3" w:rsidRDefault="00034EC3" w:rsidP="00034EC3">
            <w:pPr>
              <w:ind w:left="851" w:hanging="851"/>
              <w:rPr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15,00</w:t>
            </w:r>
            <w:r w:rsidRPr="00034EC3">
              <w:rPr>
                <w:sz w:val="16"/>
                <w:szCs w:val="16"/>
              </w:rPr>
              <w:tab/>
              <w:t>Tavola rotonda :</w:t>
            </w:r>
            <w:r w:rsidRPr="00034EC3">
              <w:rPr>
                <w:sz w:val="16"/>
                <w:szCs w:val="16"/>
              </w:rPr>
              <w:br/>
              <w:t>la qualità della formazione: ruolo strategico per lo sviluppo e l’occupazione</w:t>
            </w:r>
          </w:p>
          <w:p w:rsidR="00034EC3" w:rsidRPr="00034EC3" w:rsidRDefault="00034EC3" w:rsidP="00034EC3">
            <w:pPr>
              <w:pStyle w:val="Liststycke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034EC3">
              <w:rPr>
                <w:i/>
                <w:sz w:val="16"/>
                <w:szCs w:val="16"/>
              </w:rPr>
              <w:t>ENAIP FVG</w:t>
            </w:r>
          </w:p>
          <w:p w:rsidR="00034EC3" w:rsidRPr="00034EC3" w:rsidRDefault="00034EC3" w:rsidP="00034EC3">
            <w:pPr>
              <w:pStyle w:val="Liststycke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034EC3">
              <w:rPr>
                <w:i/>
                <w:sz w:val="16"/>
                <w:szCs w:val="16"/>
              </w:rPr>
              <w:t>IRES FVG</w:t>
            </w:r>
          </w:p>
          <w:p w:rsidR="00034EC3" w:rsidRPr="00034EC3" w:rsidRDefault="00034EC3" w:rsidP="00034EC3">
            <w:pPr>
              <w:pStyle w:val="Liststycke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034EC3">
              <w:rPr>
                <w:i/>
                <w:sz w:val="16"/>
                <w:szCs w:val="16"/>
              </w:rPr>
              <w:t>Area Ricerca</w:t>
            </w:r>
          </w:p>
          <w:p w:rsidR="00034EC3" w:rsidRPr="00034EC3" w:rsidRDefault="00034EC3" w:rsidP="00034EC3">
            <w:pPr>
              <w:pStyle w:val="Liststycke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034EC3">
              <w:rPr>
                <w:i/>
                <w:sz w:val="16"/>
                <w:szCs w:val="16"/>
              </w:rPr>
              <w:t xml:space="preserve">CONFINDUSTRIA / CONFINDUSTRIA EDUCATION  </w:t>
            </w:r>
          </w:p>
          <w:p w:rsidR="00034EC3" w:rsidRPr="00034EC3" w:rsidRDefault="00034EC3" w:rsidP="00034EC3">
            <w:pPr>
              <w:pStyle w:val="Liststycke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034EC3">
              <w:rPr>
                <w:i/>
                <w:sz w:val="16"/>
                <w:szCs w:val="16"/>
              </w:rPr>
              <w:t xml:space="preserve">Unione Artigiani del Friuli </w:t>
            </w:r>
          </w:p>
          <w:p w:rsidR="00034EC3" w:rsidRPr="00034EC3" w:rsidRDefault="00034EC3" w:rsidP="00034EC3">
            <w:pPr>
              <w:pStyle w:val="Liststycke"/>
              <w:numPr>
                <w:ilvl w:val="0"/>
                <w:numId w:val="1"/>
              </w:numPr>
              <w:ind w:left="1208" w:hanging="357"/>
              <w:rPr>
                <w:i/>
                <w:sz w:val="16"/>
                <w:szCs w:val="16"/>
              </w:rPr>
            </w:pPr>
            <w:r w:rsidRPr="00034EC3">
              <w:rPr>
                <w:i/>
                <w:sz w:val="16"/>
                <w:szCs w:val="16"/>
              </w:rPr>
              <w:t>CCIAA Udine</w:t>
            </w:r>
          </w:p>
          <w:p w:rsidR="00034EC3" w:rsidRPr="00034EC3" w:rsidRDefault="00034EC3" w:rsidP="00034EC3">
            <w:pPr>
              <w:ind w:left="851"/>
              <w:rPr>
                <w:sz w:val="16"/>
                <w:szCs w:val="16"/>
              </w:rPr>
            </w:pPr>
          </w:p>
          <w:p w:rsidR="00034EC3" w:rsidRPr="00034EC3" w:rsidRDefault="00034EC3" w:rsidP="00034EC3">
            <w:pPr>
              <w:ind w:left="851" w:hanging="851"/>
              <w:rPr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16:00</w:t>
            </w:r>
            <w:r w:rsidRPr="00034EC3">
              <w:rPr>
                <w:sz w:val="16"/>
                <w:szCs w:val="16"/>
              </w:rPr>
              <w:tab/>
              <w:t>Q&amp;A -  Considerazioni</w:t>
            </w:r>
          </w:p>
          <w:p w:rsidR="00034EC3" w:rsidRPr="00034EC3" w:rsidRDefault="00034EC3" w:rsidP="00034EC3">
            <w:pPr>
              <w:ind w:left="851" w:hanging="851"/>
              <w:rPr>
                <w:sz w:val="16"/>
                <w:szCs w:val="16"/>
              </w:rPr>
            </w:pPr>
            <w:r w:rsidRPr="00034EC3">
              <w:rPr>
                <w:sz w:val="16"/>
                <w:szCs w:val="16"/>
              </w:rPr>
              <w:t>16,30</w:t>
            </w:r>
            <w:r w:rsidRPr="00034EC3">
              <w:rPr>
                <w:sz w:val="16"/>
                <w:szCs w:val="16"/>
              </w:rPr>
              <w:tab/>
              <w:t>Conclusioni</w:t>
            </w:r>
          </w:p>
          <w:p w:rsidR="00034EC3" w:rsidRPr="00034EC3" w:rsidRDefault="00034EC3" w:rsidP="00034EC3">
            <w:pPr>
              <w:rPr>
                <w:sz w:val="16"/>
                <w:szCs w:val="16"/>
                <w:lang w:val="en-GB"/>
              </w:rPr>
            </w:pPr>
          </w:p>
        </w:tc>
      </w:tr>
      <w:tr w:rsidR="00F83177" w:rsidRPr="00927E7E" w:rsidTr="00626BE5">
        <w:trPr>
          <w:trHeight w:val="275"/>
        </w:trPr>
        <w:tc>
          <w:tcPr>
            <w:tcW w:w="7298" w:type="dxa"/>
          </w:tcPr>
          <w:p w:rsidR="001E4AFC" w:rsidRPr="00C719C0" w:rsidRDefault="001E4AFC" w:rsidP="00630210">
            <w:pPr>
              <w:rPr>
                <w:sz w:val="20"/>
                <w:lang w:val="en-GB"/>
              </w:rPr>
            </w:pPr>
          </w:p>
        </w:tc>
      </w:tr>
      <w:tr w:rsidR="00F83177" w:rsidRPr="00487836" w:rsidTr="00626BE5">
        <w:trPr>
          <w:trHeight w:val="279"/>
        </w:trPr>
        <w:tc>
          <w:tcPr>
            <w:tcW w:w="7298" w:type="dxa"/>
            <w:shd w:val="clear" w:color="auto" w:fill="40CE28"/>
          </w:tcPr>
          <w:p w:rsidR="00487836" w:rsidRPr="00487836" w:rsidRDefault="00487836" w:rsidP="00487836">
            <w:pPr>
              <w:ind w:left="709" w:hanging="709"/>
              <w:rPr>
                <w:b/>
                <w:sz w:val="20"/>
                <w:lang w:val="en-GB"/>
              </w:rPr>
            </w:pPr>
            <w:proofErr w:type="spellStart"/>
            <w:r w:rsidRPr="00487836">
              <w:rPr>
                <w:b/>
                <w:sz w:val="20"/>
                <w:lang w:val="en-GB"/>
              </w:rPr>
              <w:t>Punti</w:t>
            </w:r>
            <w:proofErr w:type="spellEnd"/>
            <w:r w:rsidRPr="00487836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487836">
              <w:rPr>
                <w:b/>
                <w:sz w:val="20"/>
                <w:lang w:val="en-GB"/>
              </w:rPr>
              <w:t>chiave</w:t>
            </w:r>
            <w:proofErr w:type="spellEnd"/>
            <w:r w:rsidRPr="00487836">
              <w:rPr>
                <w:b/>
                <w:sz w:val="20"/>
                <w:lang w:val="en-GB"/>
              </w:rPr>
              <w:t>:</w:t>
            </w:r>
          </w:p>
          <w:p w:rsidR="00487836" w:rsidRPr="00487836" w:rsidRDefault="00487836" w:rsidP="00487836">
            <w:pPr>
              <w:ind w:left="709" w:hanging="709"/>
              <w:rPr>
                <w:b/>
                <w:sz w:val="20"/>
              </w:rPr>
            </w:pPr>
            <w:r w:rsidRPr="00487836">
              <w:rPr>
                <w:b/>
                <w:sz w:val="20"/>
              </w:rPr>
              <w:t>Come può l'IT e IFP mantenere e migliorare la qualità?</w:t>
            </w:r>
          </w:p>
          <w:p w:rsidR="00F83177" w:rsidRPr="00487836" w:rsidRDefault="00487836" w:rsidP="00487836">
            <w:pPr>
              <w:ind w:left="709" w:hanging="709"/>
              <w:rPr>
                <w:b/>
                <w:sz w:val="20"/>
              </w:rPr>
            </w:pPr>
            <w:r w:rsidRPr="00487836">
              <w:rPr>
                <w:b/>
                <w:sz w:val="20"/>
              </w:rPr>
              <w:t>Come possono le istituzioni far fronte alle sfide che l</w:t>
            </w:r>
            <w:r>
              <w:rPr>
                <w:b/>
                <w:sz w:val="20"/>
              </w:rPr>
              <w:t>e</w:t>
            </w:r>
            <w:r w:rsidRPr="00487836">
              <w:rPr>
                <w:b/>
                <w:sz w:val="20"/>
              </w:rPr>
              <w:t xml:space="preserve"> coinvolgono?</w:t>
            </w:r>
          </w:p>
        </w:tc>
      </w:tr>
      <w:tr w:rsidR="00F83177" w:rsidRPr="00487836" w:rsidTr="00626BE5">
        <w:trPr>
          <w:trHeight w:val="283"/>
        </w:trPr>
        <w:tc>
          <w:tcPr>
            <w:tcW w:w="7298" w:type="dxa"/>
          </w:tcPr>
          <w:p w:rsidR="00F83177" w:rsidRPr="00487836" w:rsidRDefault="00F83177" w:rsidP="00630210">
            <w:pPr>
              <w:rPr>
                <w:sz w:val="20"/>
              </w:rPr>
            </w:pPr>
          </w:p>
        </w:tc>
      </w:tr>
      <w:tr w:rsidR="00F83177" w:rsidRPr="00AF458A" w:rsidTr="00626BE5">
        <w:trPr>
          <w:trHeight w:val="1535"/>
        </w:trPr>
        <w:tc>
          <w:tcPr>
            <w:tcW w:w="7298" w:type="dxa"/>
          </w:tcPr>
          <w:p w:rsidR="00AF458A" w:rsidRPr="00AF458A" w:rsidRDefault="00AF458A" w:rsidP="00AF458A">
            <w:pPr>
              <w:rPr>
                <w:sz w:val="20"/>
              </w:rPr>
            </w:pPr>
            <w:r w:rsidRPr="00AF458A">
              <w:rPr>
                <w:sz w:val="20"/>
              </w:rPr>
              <w:t>Una cultura aperta e sicura dell'organizzazione è un requisito fondamentale per una gestione efficace e per l'apprendimento e lo sviluppo di tutto il personale</w:t>
            </w:r>
          </w:p>
          <w:p w:rsidR="00F83177" w:rsidRPr="00AF458A" w:rsidRDefault="00AF458A" w:rsidP="00487836">
            <w:pPr>
              <w:rPr>
                <w:sz w:val="20"/>
              </w:rPr>
            </w:pPr>
            <w:r w:rsidRPr="00AF458A">
              <w:rPr>
                <w:sz w:val="20"/>
              </w:rPr>
              <w:t xml:space="preserve">Gli insegnanti sono scettici sulle iniziative di qualità in quanto queste iniziative, in generale, non hanno obiettivi chiari e non sono </w:t>
            </w:r>
            <w:r w:rsidR="00487836">
              <w:rPr>
                <w:sz w:val="20"/>
              </w:rPr>
              <w:t xml:space="preserve">presentate e sostenute </w:t>
            </w:r>
            <w:r w:rsidRPr="00AF458A">
              <w:rPr>
                <w:sz w:val="20"/>
              </w:rPr>
              <w:t xml:space="preserve"> </w:t>
            </w:r>
            <w:r w:rsidR="00487836">
              <w:rPr>
                <w:sz w:val="20"/>
              </w:rPr>
              <w:t>in modo appropriato. L</w:t>
            </w:r>
            <w:r w:rsidRPr="00AF458A">
              <w:rPr>
                <w:sz w:val="20"/>
              </w:rPr>
              <w:t xml:space="preserve">e iniziative di qualità tendono ad ottenere immediatamente seguito solo dai nuovi insegnanti, creando un sacco di agitazione all'interno dell'organizzazione, nonché la mancanza di tempo per </w:t>
            </w:r>
            <w:r w:rsidR="00487836">
              <w:rPr>
                <w:sz w:val="20"/>
              </w:rPr>
              <w:t>la loro</w:t>
            </w:r>
            <w:r w:rsidRPr="00AF458A">
              <w:rPr>
                <w:sz w:val="20"/>
              </w:rPr>
              <w:t xml:space="preserve"> buona implementazione</w:t>
            </w:r>
            <w:r w:rsidR="00487836">
              <w:rPr>
                <w:sz w:val="20"/>
              </w:rPr>
              <w:t>.</w:t>
            </w:r>
          </w:p>
        </w:tc>
      </w:tr>
    </w:tbl>
    <w:p w:rsidR="00331766" w:rsidRPr="00AF458A" w:rsidRDefault="00F83177">
      <w:r w:rsidRPr="00AF458A">
        <w:t xml:space="preserve"> </w:t>
      </w:r>
      <w:r w:rsidR="00331766" w:rsidRPr="00AF458A">
        <w:br w:type="page"/>
      </w:r>
    </w:p>
    <w:tbl>
      <w:tblPr>
        <w:tblStyle w:val="Tabellrutnt"/>
        <w:tblW w:w="77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8"/>
        <w:gridCol w:w="949"/>
        <w:gridCol w:w="5678"/>
        <w:gridCol w:w="950"/>
      </w:tblGrid>
      <w:tr w:rsidR="00011236" w:rsidRPr="0062247A" w:rsidTr="00487836">
        <w:trPr>
          <w:trHeight w:val="1265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EDC" w:rsidRPr="000D6D16" w:rsidRDefault="0062247A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2E5F0C">
              <w:rPr>
                <w:sz w:val="18"/>
                <w:lang w:val="nn-NO"/>
              </w:rPr>
              <w:lastRenderedPageBreak/>
              <w:br w:type="page"/>
            </w:r>
            <w:r w:rsidRPr="002E5F0C">
              <w:rPr>
                <w:sz w:val="18"/>
                <w:lang w:val="nn-NO"/>
              </w:rPr>
              <w:br w:type="page"/>
            </w:r>
            <w:r w:rsidR="001E4AFC" w:rsidRPr="000D6D16">
              <w:rPr>
                <w:sz w:val="18"/>
                <w:lang w:val="nn-NO"/>
              </w:rPr>
              <w:t xml:space="preserve">Partners </w:t>
            </w:r>
            <w:r w:rsidR="00292EDC" w:rsidRPr="000D6D16">
              <w:rPr>
                <w:sz w:val="18"/>
                <w:lang w:val="nn-NO"/>
              </w:rPr>
              <w:t>Address:</w:t>
            </w:r>
          </w:p>
          <w:p w:rsidR="000D6D16" w:rsidRDefault="00292EDC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t xml:space="preserve">Folkuniversitetet </w:t>
            </w:r>
            <w:r w:rsidR="000D6D16">
              <w:rPr>
                <w:sz w:val="18"/>
                <w:lang w:val="nn-NO"/>
              </w:rPr>
              <w:t>Uppsala</w:t>
            </w:r>
          </w:p>
          <w:p w:rsidR="0062247A" w:rsidRPr="000D6D16" w:rsidRDefault="00292EDC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t>Portalgatan 2, 754 23 Uppsala, Sweden</w:t>
            </w:r>
          </w:p>
          <w:p w:rsidR="00011236" w:rsidRPr="00927E7E" w:rsidRDefault="00292EDC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  <w:r w:rsidRPr="000D6D16">
              <w:rPr>
                <w:sz w:val="18"/>
                <w:lang w:val="nn-NO"/>
              </w:rPr>
              <w:t xml:space="preserve"> </w:t>
            </w:r>
            <w:r w:rsidRPr="00927E7E">
              <w:rPr>
                <w:sz w:val="18"/>
                <w:lang w:val="da-DK"/>
              </w:rPr>
              <w:t>+46 018-68 00 00</w:t>
            </w:r>
            <w:r w:rsidR="0062247A" w:rsidRPr="00927E7E">
              <w:rPr>
                <w:sz w:val="18"/>
                <w:lang w:val="da-DK"/>
              </w:rPr>
              <w:tab/>
            </w:r>
            <w:hyperlink r:id="rId7" w:history="1">
              <w:r w:rsidR="0062247A" w:rsidRPr="00927E7E">
                <w:rPr>
                  <w:rStyle w:val="Hyperlnk"/>
                  <w:sz w:val="18"/>
                  <w:lang w:val="da-DK"/>
                </w:rPr>
                <w:t>ali.rashidi@folkuniversitetet.se</w:t>
              </w:r>
            </w:hyperlink>
          </w:p>
          <w:p w:rsidR="000D6D16" w:rsidRPr="00927E7E" w:rsidRDefault="000D6D16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</w:p>
          <w:p w:rsidR="000D6D16" w:rsidRDefault="00292EDC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  <w:r w:rsidRPr="000D6D16">
              <w:rPr>
                <w:sz w:val="18"/>
                <w:lang w:val="da-DK"/>
              </w:rPr>
              <w:t>REVALEN</w:t>
            </w:r>
            <w:r w:rsidR="000D6D16">
              <w:rPr>
                <w:sz w:val="18"/>
                <w:lang w:val="da-DK"/>
              </w:rPr>
              <w:t>TO</w:t>
            </w:r>
          </w:p>
          <w:p w:rsidR="00292EDC" w:rsidRPr="000D6D16" w:rsidRDefault="00292EDC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  <w:r w:rsidRPr="000D6D16">
              <w:rPr>
                <w:sz w:val="18"/>
                <w:lang w:val="da-DK"/>
              </w:rPr>
              <w:t>J.P. Coenstraat 70 5018 CT Tilburg Nederland</w:t>
            </w:r>
          </w:p>
          <w:p w:rsidR="0062247A" w:rsidRPr="00927E7E" w:rsidRDefault="0062247A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  <w:r w:rsidRPr="000D6D16">
              <w:rPr>
                <w:sz w:val="18"/>
                <w:lang w:val="de-DE"/>
              </w:rPr>
              <w:t>+31 135802848</w:t>
            </w:r>
            <w:r w:rsidRPr="000D6D16">
              <w:rPr>
                <w:sz w:val="18"/>
                <w:lang w:val="de-DE"/>
              </w:rPr>
              <w:tab/>
            </w:r>
            <w:hyperlink r:id="rId8" w:history="1">
              <w:r w:rsidRPr="000D6D16">
                <w:rPr>
                  <w:rStyle w:val="Hyperlnk"/>
                  <w:sz w:val="18"/>
                  <w:lang w:val="de-DE"/>
                </w:rPr>
                <w:t>winkel@revalento.nl</w:t>
              </w:r>
            </w:hyperlink>
          </w:p>
          <w:p w:rsidR="000D6D16" w:rsidRPr="000D6D16" w:rsidRDefault="000D6D16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</w:p>
          <w:p w:rsidR="000D6D16" w:rsidRDefault="0062247A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  <w:r w:rsidRPr="000D6D16">
              <w:rPr>
                <w:sz w:val="18"/>
                <w:lang w:val="de-DE"/>
              </w:rPr>
              <w:t xml:space="preserve">Quality Austria - Trainings, </w:t>
            </w:r>
            <w:proofErr w:type="spellStart"/>
            <w:r w:rsidRPr="000D6D16">
              <w:rPr>
                <w:sz w:val="18"/>
                <w:lang w:val="de-DE"/>
              </w:rPr>
              <w:t>Zertifizierungs</w:t>
            </w:r>
            <w:proofErr w:type="spellEnd"/>
            <w:r w:rsidRPr="000D6D16">
              <w:rPr>
                <w:sz w:val="18"/>
                <w:lang w:val="de-DE"/>
              </w:rPr>
              <w:t xml:space="preserve"> und </w:t>
            </w:r>
            <w:proofErr w:type="spellStart"/>
            <w:r w:rsidRPr="000D6D16">
              <w:rPr>
                <w:sz w:val="18"/>
                <w:lang w:val="de-DE"/>
              </w:rPr>
              <w:t>Begutachtungs</w:t>
            </w:r>
            <w:proofErr w:type="spellEnd"/>
            <w:r w:rsidRPr="000D6D16">
              <w:rPr>
                <w:sz w:val="18"/>
                <w:lang w:val="de-DE"/>
              </w:rPr>
              <w:t xml:space="preserve"> GmbH</w:t>
            </w: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  <w:proofErr w:type="spellStart"/>
            <w:r w:rsidRPr="000D6D16">
              <w:rPr>
                <w:sz w:val="18"/>
                <w:lang w:val="de-DE"/>
              </w:rPr>
              <w:t>Zelinkagasse</w:t>
            </w:r>
            <w:proofErr w:type="spellEnd"/>
            <w:r w:rsidRPr="000D6D16">
              <w:rPr>
                <w:sz w:val="18"/>
                <w:lang w:val="de-DE"/>
              </w:rPr>
              <w:t xml:space="preserve"> 10/3 1010 Wien, Austria</w:t>
            </w:r>
          </w:p>
          <w:p w:rsidR="0062247A" w:rsidRPr="00927E7E" w:rsidRDefault="0062247A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  <w:r w:rsidRPr="00927E7E">
              <w:rPr>
                <w:sz w:val="18"/>
                <w:lang w:val="de-DE"/>
              </w:rPr>
              <w:t>Tel.: (+43 1) 274 87 47</w:t>
            </w:r>
            <w:r w:rsidRPr="00927E7E">
              <w:rPr>
                <w:sz w:val="18"/>
                <w:lang w:val="de-DE"/>
              </w:rPr>
              <w:tab/>
            </w:r>
            <w:hyperlink r:id="rId9" w:history="1">
              <w:r w:rsidRPr="00927E7E">
                <w:rPr>
                  <w:rStyle w:val="Hyperlnk"/>
                  <w:sz w:val="18"/>
                  <w:lang w:val="de-DE"/>
                </w:rPr>
                <w:t>office@qualityaustria.com</w:t>
              </w:r>
            </w:hyperlink>
          </w:p>
          <w:p w:rsidR="000D6D16" w:rsidRPr="00927E7E" w:rsidRDefault="000D6D16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USR Friuli Venezia Giulia</w:t>
            </w: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Via Santi Martiri, 3 – 34123 Trieste Italy</w:t>
            </w:r>
          </w:p>
          <w:p w:rsidR="0062247A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+390404194111</w:t>
            </w:r>
            <w:r w:rsidRPr="000D6D16">
              <w:rPr>
                <w:sz w:val="18"/>
              </w:rPr>
              <w:tab/>
            </w:r>
            <w:hyperlink r:id="rId10" w:history="1">
              <w:r w:rsidRPr="000D6D16">
                <w:rPr>
                  <w:rStyle w:val="Hyperlnk"/>
                  <w:sz w:val="18"/>
                </w:rPr>
                <w:t>direzione-friuliveneziagiulia@istruzione.it</w:t>
              </w:r>
            </w:hyperlink>
          </w:p>
          <w:p w:rsidR="000D6D16" w:rsidRPr="000D6D16" w:rsidRDefault="000D6D16" w:rsidP="0062247A">
            <w:pPr>
              <w:tabs>
                <w:tab w:val="left" w:pos="2325"/>
              </w:tabs>
              <w:rPr>
                <w:sz w:val="18"/>
              </w:rPr>
            </w:pP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 xml:space="preserve">Beypazarı İlçe Milli Eğitim Müdürlüğü </w:t>
            </w:r>
            <w:r w:rsidR="000D6D16" w:rsidRPr="000D6D16">
              <w:rPr>
                <w:sz w:val="18"/>
              </w:rPr>
              <w:t xml:space="preserve"> (Beypazarı District Directorate For National Education)</w:t>
            </w:r>
            <w:r w:rsidRPr="000D6D16">
              <w:rPr>
                <w:sz w:val="18"/>
              </w:rPr>
              <w:br/>
            </w:r>
            <w:r w:rsidR="000D6D16" w:rsidRPr="000D6D16">
              <w:rPr>
                <w:sz w:val="18"/>
              </w:rPr>
              <w:t xml:space="preserve">Milli Egemenlik Caddesi Halil Şıvgın Sok. No 4 Beypazarı Ankara </w:t>
            </w: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Tel:+905054545562</w:t>
            </w:r>
            <w:r w:rsidRPr="000D6D16">
              <w:rPr>
                <w:sz w:val="18"/>
              </w:rPr>
              <w:tab/>
              <w:t>Email: atemur28@hotmail.com</w:t>
            </w:r>
          </w:p>
        </w:tc>
      </w:tr>
      <w:tr w:rsidR="00011236" w:rsidRPr="0062247A" w:rsidTr="00487836"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236" w:rsidRPr="0062247A" w:rsidRDefault="00011236" w:rsidP="00630210"/>
        </w:tc>
      </w:tr>
      <w:tr w:rsidR="000D6D16" w:rsidTr="00487836"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0D6D16" w:rsidRDefault="000D6D16" w:rsidP="00630210"/>
        </w:tc>
      </w:tr>
      <w:tr w:rsidR="00011236" w:rsidTr="00487836">
        <w:trPr>
          <w:trHeight w:val="624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1DC" w:rsidRDefault="008D11DC" w:rsidP="00630210"/>
          <w:p w:rsidR="008D11DC" w:rsidRDefault="008D11DC" w:rsidP="00630210"/>
          <w:p w:rsidR="008D11DC" w:rsidRDefault="008D11DC" w:rsidP="00630210"/>
          <w:p w:rsidR="00011236" w:rsidRDefault="00487836" w:rsidP="00630210"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4543425" cy="1276350"/>
                  <wp:effectExtent l="19050" t="0" r="9525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A85" w:rsidRPr="002D353D" w:rsidTr="00487836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850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1DC" w:rsidRDefault="008D11DC" w:rsidP="002D353D">
            <w:pPr>
              <w:tabs>
                <w:tab w:val="right" w:pos="7111"/>
              </w:tabs>
              <w:rPr>
                <w:noProof/>
                <w:lang w:eastAsia="it-IT"/>
              </w:rPr>
            </w:pPr>
          </w:p>
          <w:p w:rsidR="008D11DC" w:rsidRDefault="008D11DC" w:rsidP="002D353D">
            <w:pPr>
              <w:tabs>
                <w:tab w:val="right" w:pos="7111"/>
              </w:tabs>
              <w:rPr>
                <w:noProof/>
                <w:lang w:eastAsia="it-IT"/>
              </w:rPr>
            </w:pPr>
          </w:p>
          <w:p w:rsidR="008D11DC" w:rsidRDefault="008D11DC" w:rsidP="002D353D">
            <w:pPr>
              <w:tabs>
                <w:tab w:val="right" w:pos="7111"/>
              </w:tabs>
              <w:rPr>
                <w:noProof/>
                <w:lang w:eastAsia="it-IT"/>
              </w:rPr>
            </w:pPr>
          </w:p>
          <w:p w:rsidR="008D11DC" w:rsidRDefault="008D11DC" w:rsidP="002D353D">
            <w:pPr>
              <w:tabs>
                <w:tab w:val="right" w:pos="7111"/>
              </w:tabs>
              <w:rPr>
                <w:noProof/>
                <w:lang w:eastAsia="it-IT"/>
              </w:rPr>
            </w:pPr>
          </w:p>
          <w:p w:rsidR="00DE2DFC" w:rsidRPr="0062247A" w:rsidRDefault="002D353D" w:rsidP="002D353D">
            <w:pPr>
              <w:tabs>
                <w:tab w:val="right" w:pos="7111"/>
              </w:tabs>
            </w:pPr>
            <w:bookmarkStart w:id="2" w:name="_GoBack"/>
            <w:bookmarkEnd w:id="2"/>
            <w:r w:rsidRPr="0062247A">
              <w:lastRenderedPageBreak/>
              <w:tab/>
            </w:r>
            <w:r w:rsidRPr="002D353D">
              <w:rPr>
                <w:noProof/>
                <w:lang w:val="sv-SE" w:eastAsia="sv-SE"/>
              </w:rPr>
              <w:drawing>
                <wp:inline distT="0" distB="0" distL="0" distR="0">
                  <wp:extent cx="727901" cy="304610"/>
                  <wp:effectExtent l="19050" t="0" r="0" b="0"/>
                  <wp:docPr id="15" name="Bild 3" descr="L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39" cy="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3A9" w:rsidRPr="00F93B73" w:rsidTr="00487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8" w:type="dxa"/>
          <w:trHeight w:val="375"/>
        </w:trPr>
        <w:tc>
          <w:tcPr>
            <w:tcW w:w="949" w:type="dxa"/>
          </w:tcPr>
          <w:p w:rsidR="008C43A9" w:rsidRPr="00BB273B" w:rsidRDefault="008C43A9" w:rsidP="00CA4C13">
            <w:pPr>
              <w:rPr>
                <w:sz w:val="15"/>
                <w:szCs w:val="15"/>
              </w:rPr>
            </w:pPr>
            <w:r w:rsidRPr="00BB273B">
              <w:rPr>
                <w:noProof/>
                <w:lang w:val="sv-SE" w:eastAsia="sv-SE"/>
              </w:rPr>
              <w:drawing>
                <wp:inline distT="0" distB="0" distL="0" distR="0">
                  <wp:extent cx="237456" cy="260289"/>
                  <wp:effectExtent l="19050" t="0" r="0" b="0"/>
                  <wp:docPr id="6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78" cy="26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gridSpan w:val="2"/>
          </w:tcPr>
          <w:p w:rsidR="008C43A9" w:rsidRPr="00F93B73" w:rsidRDefault="008C43A9" w:rsidP="00CA4C13">
            <w:pPr>
              <w:pStyle w:val="Sidhuvud"/>
              <w:rPr>
                <w:sz w:val="15"/>
                <w:szCs w:val="15"/>
                <w:lang w:val="it-IT"/>
              </w:rPr>
            </w:pPr>
            <w:r w:rsidRPr="002D353D">
              <w:rPr>
                <w:i/>
                <w:sz w:val="28"/>
                <w:szCs w:val="32"/>
                <w:lang w:val="it-IT"/>
              </w:rPr>
              <w:t>Ministero dell’istruzione, dell’università e della ricerca</w:t>
            </w:r>
          </w:p>
        </w:tc>
      </w:tr>
      <w:tr w:rsidR="008C43A9" w:rsidRPr="00F93B73" w:rsidTr="00487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8" w:type="dxa"/>
          <w:wAfter w:w="950" w:type="dxa"/>
          <w:trHeight w:val="283"/>
        </w:trPr>
        <w:tc>
          <w:tcPr>
            <w:tcW w:w="949" w:type="dxa"/>
            <w:vAlign w:val="center"/>
          </w:tcPr>
          <w:p w:rsidR="008C43A9" w:rsidRPr="00BB273B" w:rsidRDefault="008C43A9" w:rsidP="00CA4C13">
            <w:pPr>
              <w:pStyle w:val="Sidhuvud"/>
              <w:rPr>
                <w:i/>
                <w:spacing w:val="4"/>
                <w:sz w:val="24"/>
                <w:szCs w:val="28"/>
              </w:rPr>
            </w:pPr>
            <w:r w:rsidRPr="00BB273B">
              <w:rPr>
                <w:noProof/>
                <w:sz w:val="15"/>
                <w:szCs w:val="15"/>
                <w:lang w:val="sv-SE" w:eastAsia="sv-SE"/>
              </w:rPr>
              <w:drawing>
                <wp:inline distT="0" distB="0" distL="0" distR="0">
                  <wp:extent cx="295275" cy="275384"/>
                  <wp:effectExtent l="0" t="0" r="9525" b="0"/>
                  <wp:docPr id="6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3" cy="27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  <w:vAlign w:val="center"/>
          </w:tcPr>
          <w:p w:rsidR="008C43A9" w:rsidRPr="00F93B73" w:rsidRDefault="008C43A9" w:rsidP="00CA4C13">
            <w:pPr>
              <w:pStyle w:val="Sidhuvud"/>
              <w:tabs>
                <w:tab w:val="clear" w:pos="4536"/>
              </w:tabs>
              <w:rPr>
                <w:i/>
                <w:lang w:val="it-IT"/>
              </w:rPr>
            </w:pPr>
            <w:r w:rsidRPr="002D353D">
              <w:rPr>
                <w:i/>
                <w:lang w:val="it-IT"/>
              </w:rPr>
              <w:t>Ufficio Scolastico Regionale per il Friuli Venezia Giulia</w:t>
            </w:r>
          </w:p>
        </w:tc>
      </w:tr>
      <w:tr w:rsidR="002D353D" w:rsidRPr="002D353D" w:rsidTr="00487836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680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907" w:rsidRPr="002E5F0C" w:rsidRDefault="00744907" w:rsidP="002D353D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  <w:noProof/>
                <w:lang w:val="sv-SE"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194945</wp:posOffset>
                  </wp:positionV>
                  <wp:extent cx="4320540" cy="3886200"/>
                  <wp:effectExtent l="19050" t="0" r="3810" b="0"/>
                  <wp:wrapNone/>
                  <wp:docPr id="4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2000" contrast="-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20540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907" w:rsidRDefault="00AF458A" w:rsidP="002D353D">
            <w:pPr>
              <w:spacing w:line="300" w:lineRule="auto"/>
              <w:jc w:val="center"/>
              <w:rPr>
                <w:b/>
                <w:bCs/>
                <w:lang w:val="en-GB"/>
              </w:rPr>
            </w:pPr>
            <w:proofErr w:type="spellStart"/>
            <w:r w:rsidRPr="00744907">
              <w:rPr>
                <w:bCs/>
                <w:i/>
                <w:lang w:val="en-GB"/>
              </w:rPr>
              <w:t>Progetto</w:t>
            </w:r>
            <w:proofErr w:type="spellEnd"/>
          </w:p>
          <w:p w:rsidR="002D353D" w:rsidRPr="00744907" w:rsidRDefault="002D353D" w:rsidP="002D353D">
            <w:pPr>
              <w:spacing w:line="300" w:lineRule="auto"/>
              <w:jc w:val="center"/>
              <w:rPr>
                <w:b/>
                <w:bCs/>
                <w:sz w:val="36"/>
                <w:lang w:val="en-GB"/>
              </w:rPr>
            </w:pPr>
            <w:r w:rsidRPr="00744907">
              <w:rPr>
                <w:b/>
                <w:bCs/>
                <w:sz w:val="36"/>
                <w:lang w:val="en-GB"/>
              </w:rPr>
              <w:t>“Expanding the quality ‘spirit’ of VET</w:t>
            </w:r>
            <w:r w:rsidR="00744907">
              <w:rPr>
                <w:b/>
                <w:bCs/>
                <w:sz w:val="36"/>
                <w:lang w:val="en-GB"/>
              </w:rPr>
              <w:t>”</w:t>
            </w:r>
          </w:p>
          <w:p w:rsidR="002D353D" w:rsidRPr="00744907" w:rsidRDefault="002D353D" w:rsidP="002D353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sz w:val="36"/>
              </w:rPr>
            </w:pPr>
            <w:r w:rsidRPr="00744907">
              <w:rPr>
                <w:b/>
                <w:bCs/>
                <w:sz w:val="36"/>
              </w:rPr>
              <w:t>Q &amp; VET</w:t>
            </w:r>
          </w:p>
          <w:p w:rsidR="002D353D" w:rsidRPr="00AF458A" w:rsidRDefault="002D353D" w:rsidP="00FC0F3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noProof/>
                <w:lang w:eastAsia="it-IT"/>
              </w:rPr>
            </w:pPr>
            <w:r w:rsidRPr="00AF458A">
              <w:rPr>
                <w:bCs/>
                <w:i/>
              </w:rPr>
              <w:t>527399-LLP-1-2012-1-SE-LEONARDO-LMP</w:t>
            </w:r>
          </w:p>
        </w:tc>
      </w:tr>
      <w:tr w:rsidR="009F6CEB" w:rsidRPr="00D62930" w:rsidTr="00487836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679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907" w:rsidRPr="002E5F0C" w:rsidRDefault="00744907" w:rsidP="009A357C">
            <w:pPr>
              <w:jc w:val="center"/>
              <w:rPr>
                <w:rFonts w:ascii="Calibri" w:hAnsi="Calibri" w:cs="Calibri"/>
                <w:b/>
                <w:i/>
                <w:sz w:val="48"/>
                <w:szCs w:val="24"/>
              </w:rPr>
            </w:pPr>
          </w:p>
          <w:p w:rsidR="00744907" w:rsidRPr="002E5F0C" w:rsidRDefault="00744907" w:rsidP="009A357C">
            <w:pPr>
              <w:jc w:val="center"/>
              <w:rPr>
                <w:rFonts w:ascii="Calibri" w:hAnsi="Calibri" w:cs="Calibri"/>
                <w:b/>
                <w:i/>
                <w:sz w:val="48"/>
                <w:szCs w:val="24"/>
              </w:rPr>
            </w:pPr>
          </w:p>
          <w:p w:rsidR="00744907" w:rsidRPr="002E5F0C" w:rsidRDefault="00744907" w:rsidP="009A357C">
            <w:pPr>
              <w:jc w:val="center"/>
              <w:rPr>
                <w:rFonts w:ascii="Calibri" w:hAnsi="Calibri" w:cs="Calibri"/>
                <w:b/>
                <w:i/>
                <w:sz w:val="48"/>
                <w:szCs w:val="24"/>
              </w:rPr>
            </w:pPr>
          </w:p>
          <w:p w:rsidR="009F6CEB" w:rsidRPr="00744907" w:rsidRDefault="00AF458A" w:rsidP="009A357C">
            <w:pPr>
              <w:jc w:val="center"/>
              <w:rPr>
                <w:lang w:val="nn-NO"/>
              </w:rPr>
            </w:pPr>
            <w:r w:rsidRPr="00744907">
              <w:rPr>
                <w:rFonts w:ascii="Calibri" w:hAnsi="Calibri" w:cs="Calibri"/>
                <w:b/>
                <w:i/>
                <w:sz w:val="48"/>
                <w:szCs w:val="24"/>
                <w:lang w:val="nn-NO"/>
              </w:rPr>
              <w:t>Seminario regionale</w:t>
            </w:r>
          </w:p>
        </w:tc>
      </w:tr>
      <w:tr w:rsidR="009F6CEB" w:rsidRPr="000146ED" w:rsidTr="00487836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342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EB" w:rsidRPr="00744907" w:rsidRDefault="00AF458A" w:rsidP="002D353D">
            <w:pPr>
              <w:jc w:val="center"/>
              <w:rPr>
                <w:sz w:val="32"/>
              </w:rPr>
            </w:pPr>
            <w:r w:rsidRPr="00744907">
              <w:rPr>
                <w:sz w:val="32"/>
              </w:rPr>
              <w:t>Udine 21 novembre 2013</w:t>
            </w:r>
          </w:p>
          <w:p w:rsidR="00AF458A" w:rsidRPr="00744907" w:rsidRDefault="00AF458A" w:rsidP="002D353D">
            <w:pPr>
              <w:jc w:val="center"/>
              <w:rPr>
                <w:sz w:val="40"/>
              </w:rPr>
            </w:pPr>
            <w:r w:rsidRPr="00744907">
              <w:rPr>
                <w:sz w:val="32"/>
              </w:rPr>
              <w:t>Aula Magna ISIS Bonaldo Stringher</w:t>
            </w:r>
          </w:p>
        </w:tc>
      </w:tr>
    </w:tbl>
    <w:p w:rsidR="00744907" w:rsidRDefault="00744907" w:rsidP="00744907">
      <w:pPr>
        <w:spacing w:after="0" w:line="240" w:lineRule="auto"/>
        <w:ind w:left="709" w:hanging="709"/>
        <w:jc w:val="both"/>
        <w:rPr>
          <w:b/>
        </w:rPr>
      </w:pPr>
    </w:p>
    <w:p w:rsidR="00011236" w:rsidRPr="00744907" w:rsidRDefault="00011236" w:rsidP="00744907">
      <w:pPr>
        <w:ind w:left="709" w:hanging="709"/>
        <w:jc w:val="right"/>
        <w:rPr>
          <w:b/>
        </w:rPr>
      </w:pPr>
    </w:p>
    <w:sectPr w:rsidR="00011236" w:rsidRPr="00744907" w:rsidSect="00AF458A">
      <w:pgSz w:w="16838" w:h="11906" w:orient="landscape"/>
      <w:pgMar w:top="1134" w:right="536" w:bottom="1560" w:left="709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11C1"/>
    <w:multiLevelType w:val="hybridMultilevel"/>
    <w:tmpl w:val="57A00FE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1C43"/>
    <w:rsid w:val="00011236"/>
    <w:rsid w:val="00011A71"/>
    <w:rsid w:val="000146ED"/>
    <w:rsid w:val="00034EC3"/>
    <w:rsid w:val="000C1D7E"/>
    <w:rsid w:val="000D6D16"/>
    <w:rsid w:val="000E7D62"/>
    <w:rsid w:val="0010334C"/>
    <w:rsid w:val="00110465"/>
    <w:rsid w:val="001759BD"/>
    <w:rsid w:val="001B7A85"/>
    <w:rsid w:val="001D2823"/>
    <w:rsid w:val="001E4AFC"/>
    <w:rsid w:val="00292EDC"/>
    <w:rsid w:val="0029556B"/>
    <w:rsid w:val="002D07C2"/>
    <w:rsid w:val="002D353D"/>
    <w:rsid w:val="002E5F0C"/>
    <w:rsid w:val="00331766"/>
    <w:rsid w:val="00396FB4"/>
    <w:rsid w:val="003A1C43"/>
    <w:rsid w:val="003E25B7"/>
    <w:rsid w:val="00401FA8"/>
    <w:rsid w:val="00411471"/>
    <w:rsid w:val="00487836"/>
    <w:rsid w:val="004D09A4"/>
    <w:rsid w:val="005174AC"/>
    <w:rsid w:val="005549CF"/>
    <w:rsid w:val="005A6BB6"/>
    <w:rsid w:val="00601C9D"/>
    <w:rsid w:val="0062247A"/>
    <w:rsid w:val="00626BE5"/>
    <w:rsid w:val="00634E50"/>
    <w:rsid w:val="00652DF2"/>
    <w:rsid w:val="00665B84"/>
    <w:rsid w:val="00731167"/>
    <w:rsid w:val="00744907"/>
    <w:rsid w:val="00745C2B"/>
    <w:rsid w:val="00745EC0"/>
    <w:rsid w:val="00751787"/>
    <w:rsid w:val="00783178"/>
    <w:rsid w:val="0078560A"/>
    <w:rsid w:val="00853008"/>
    <w:rsid w:val="008C43A9"/>
    <w:rsid w:val="008D11DC"/>
    <w:rsid w:val="00927E7E"/>
    <w:rsid w:val="009A357C"/>
    <w:rsid w:val="009F6CEB"/>
    <w:rsid w:val="00A16416"/>
    <w:rsid w:val="00A25042"/>
    <w:rsid w:val="00A954E5"/>
    <w:rsid w:val="00AF458A"/>
    <w:rsid w:val="00AF4AB1"/>
    <w:rsid w:val="00B127C9"/>
    <w:rsid w:val="00B418A4"/>
    <w:rsid w:val="00B60595"/>
    <w:rsid w:val="00BF338E"/>
    <w:rsid w:val="00C719C0"/>
    <w:rsid w:val="00D051E1"/>
    <w:rsid w:val="00D241FA"/>
    <w:rsid w:val="00D33BBB"/>
    <w:rsid w:val="00D62930"/>
    <w:rsid w:val="00DE2DFC"/>
    <w:rsid w:val="00E36016"/>
    <w:rsid w:val="00E733F8"/>
    <w:rsid w:val="00F25621"/>
    <w:rsid w:val="00F83177"/>
    <w:rsid w:val="00F93B73"/>
    <w:rsid w:val="00F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2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127C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idhuvudChar">
    <w:name w:val="Sidhuvud Char"/>
    <w:basedOn w:val="Standardstycketeckensnitt"/>
    <w:link w:val="Sidhuvud"/>
    <w:rsid w:val="00B127C9"/>
    <w:rPr>
      <w:lang w:val="en-GB"/>
    </w:rPr>
  </w:style>
  <w:style w:type="paragraph" w:customStyle="1" w:styleId="Default">
    <w:name w:val="Default"/>
    <w:rsid w:val="005A6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2247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2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Testo fumetto Carattere"/>
    <w:basedOn w:val="Standardstycketeckensnitt"/>
    <w:link w:val="Ballongtext"/>
    <w:uiPriority w:val="99"/>
    <w:semiHidden/>
    <w:rsid w:val="000112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127C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idhuvudChar">
    <w:name w:val="Intestazione Carattere"/>
    <w:basedOn w:val="Standardstycketeckensnitt"/>
    <w:link w:val="Sidhuvud"/>
    <w:rsid w:val="00B127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el@revalento.n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ali.rashidi@folkuniversitetet.se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direzione-friuliveneziagiuli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qualityaustria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F4A9-B6CB-4117-A630-918D571C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Uff.scol.reg.91</dc:creator>
  <cp:lastModifiedBy>Denis Riabov</cp:lastModifiedBy>
  <cp:revision>3</cp:revision>
  <cp:lastPrinted>2013-10-10T13:04:00Z</cp:lastPrinted>
  <dcterms:created xsi:type="dcterms:W3CDTF">2014-03-04T14:56:00Z</dcterms:created>
  <dcterms:modified xsi:type="dcterms:W3CDTF">2014-03-05T16:21:00Z</dcterms:modified>
</cp:coreProperties>
</file>