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</w:tblGrid>
      <w:tr w:rsidR="003A1C43" w:rsidTr="00626BE5">
        <w:tc>
          <w:tcPr>
            <w:tcW w:w="7298" w:type="dxa"/>
            <w:shd w:val="clear" w:color="auto" w:fill="40CE28"/>
          </w:tcPr>
          <w:p w:rsidR="003A1C43" w:rsidRPr="001759BD" w:rsidRDefault="002D0687" w:rsidP="002D0687">
            <w:pPr>
              <w:rPr>
                <w:b/>
              </w:rPr>
            </w:pPr>
            <w:r>
              <w:rPr>
                <w:b/>
              </w:rPr>
              <w:t xml:space="preserve">Het </w:t>
            </w:r>
            <w:r w:rsidR="00B60595" w:rsidRPr="001759BD">
              <w:rPr>
                <w:b/>
              </w:rPr>
              <w:t xml:space="preserve"> </w:t>
            </w:r>
            <w:r w:rsidR="00401FA8" w:rsidRPr="001759BD">
              <w:rPr>
                <w:b/>
              </w:rPr>
              <w:t xml:space="preserve">Project </w:t>
            </w:r>
          </w:p>
        </w:tc>
      </w:tr>
      <w:tr w:rsidR="003A1C43" w:rsidRPr="00C719C0" w:rsidTr="00626BE5">
        <w:tc>
          <w:tcPr>
            <w:tcW w:w="7298" w:type="dxa"/>
          </w:tcPr>
          <w:p w:rsidR="00401FA8" w:rsidRPr="002D0687" w:rsidRDefault="002D0687" w:rsidP="001759BD">
            <w:pPr>
              <w:jc w:val="both"/>
              <w:rPr>
                <w:sz w:val="20"/>
                <w:lang w:val="nl-NL"/>
              </w:rPr>
            </w:pPr>
            <w:r>
              <w:rPr>
                <w:sz w:val="20"/>
              </w:rPr>
              <w:t>W</w:t>
            </w:r>
            <w:r w:rsidRPr="002D0687">
              <w:rPr>
                <w:sz w:val="20"/>
                <w:lang w:val="nl-NL"/>
              </w:rPr>
              <w:t xml:space="preserve">erken aan de kwaliteitsverbetering van het onderwijs kan alleen maar slagen indien de medewerkers betrokken worden bij het hele </w:t>
            </w:r>
            <w:r>
              <w:rPr>
                <w:sz w:val="20"/>
                <w:lang w:val="nl-NL"/>
              </w:rPr>
              <w:t>proce</w:t>
            </w:r>
            <w:r w:rsidRPr="002D0687">
              <w:rPr>
                <w:sz w:val="20"/>
                <w:lang w:val="nl-NL"/>
              </w:rPr>
              <w:t xml:space="preserve">s </w:t>
            </w:r>
            <w:r>
              <w:rPr>
                <w:sz w:val="20"/>
                <w:lang w:val="nl-NL"/>
              </w:rPr>
              <w:t>van kwalit</w:t>
            </w:r>
            <w:r w:rsidRPr="002D0687">
              <w:rPr>
                <w:sz w:val="20"/>
                <w:lang w:val="nl-NL"/>
              </w:rPr>
              <w:t>e</w:t>
            </w:r>
            <w:r>
              <w:rPr>
                <w:sz w:val="20"/>
                <w:lang w:val="nl-NL"/>
              </w:rPr>
              <w:t>itsv</w:t>
            </w:r>
            <w:r w:rsidRPr="002D0687">
              <w:rPr>
                <w:sz w:val="20"/>
                <w:lang w:val="nl-NL"/>
              </w:rPr>
              <w:t>erbetering: vanaf het begin gehoord en be</w:t>
            </w:r>
            <w:r>
              <w:rPr>
                <w:sz w:val="20"/>
                <w:lang w:val="nl-NL"/>
              </w:rPr>
              <w:t>trokken bij wat er dient te geb</w:t>
            </w:r>
            <w:r w:rsidRPr="002D0687">
              <w:rPr>
                <w:sz w:val="20"/>
                <w:lang w:val="nl-NL"/>
              </w:rPr>
              <w:t>e</w:t>
            </w:r>
            <w:r>
              <w:rPr>
                <w:sz w:val="20"/>
                <w:lang w:val="nl-NL"/>
              </w:rPr>
              <w:t>uren, de plan</w:t>
            </w:r>
            <w:r w:rsidRPr="002D0687">
              <w:rPr>
                <w:sz w:val="20"/>
                <w:lang w:val="nl-NL"/>
              </w:rPr>
              <w:t xml:space="preserve">ning en uitvoering ervan, en tot slot </w:t>
            </w:r>
            <w:r>
              <w:rPr>
                <w:sz w:val="20"/>
                <w:lang w:val="nl-NL"/>
              </w:rPr>
              <w:t xml:space="preserve">bij de evaluatie van wat gedaan en bereikt is. </w:t>
            </w:r>
          </w:p>
          <w:p w:rsidR="00401FA8" w:rsidRPr="00040C41" w:rsidRDefault="0007654C" w:rsidP="001759BD">
            <w:pPr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Deze betrokkenheid wordt nog lang niet altijd gerealiseerd.</w:t>
            </w:r>
            <w:r w:rsidRPr="009B533E">
              <w:rPr>
                <w:sz w:val="20"/>
                <w:lang w:val="nl-NL"/>
              </w:rPr>
              <w:t xml:space="preserve"> </w:t>
            </w:r>
            <w:r w:rsidRPr="00040C41">
              <w:rPr>
                <w:sz w:val="20"/>
                <w:lang w:val="nl-NL"/>
              </w:rPr>
              <w:t xml:space="preserve">Wellicht zou er daarom behoefte kunnen zijn aan adviezen ten behoeve van het management </w:t>
            </w:r>
            <w:r w:rsidR="00040C41">
              <w:rPr>
                <w:sz w:val="20"/>
                <w:lang w:val="nl-NL"/>
              </w:rPr>
              <w:t xml:space="preserve">voor de  aansturing van medewerkers op dit punt. Adviezen die het management ondersteunen en die duidelijk kunnen maken hoe een grotere betrokkenheid van medewerkers </w:t>
            </w:r>
            <w:r w:rsidRPr="00040C41">
              <w:rPr>
                <w:sz w:val="20"/>
                <w:lang w:val="nl-NL"/>
              </w:rPr>
              <w:t>be</w:t>
            </w:r>
            <w:r w:rsidR="00040C41">
              <w:rPr>
                <w:sz w:val="20"/>
                <w:lang w:val="nl-NL"/>
              </w:rPr>
              <w:t>reikt kan worden en die ook duidelijk te maken dat kwaliteitsinitiatieven: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a)</w:t>
            </w:r>
            <w:r w:rsidRPr="00040C41">
              <w:rPr>
                <w:sz w:val="20"/>
                <w:lang w:val="nl-NL"/>
              </w:rPr>
              <w:tab/>
            </w:r>
            <w:r w:rsidR="00040C41" w:rsidRPr="00040C41">
              <w:rPr>
                <w:sz w:val="20"/>
                <w:lang w:val="nl-NL"/>
              </w:rPr>
              <w:t>motivatie en inzet van leerkrachten vergro</w:t>
            </w:r>
            <w:r w:rsidR="00040C41">
              <w:rPr>
                <w:sz w:val="20"/>
                <w:lang w:val="nl-NL"/>
              </w:rPr>
              <w:t>ten en uitnodigen om op verschil</w:t>
            </w:r>
            <w:r w:rsidR="00040C41" w:rsidRPr="00040C41">
              <w:rPr>
                <w:sz w:val="20"/>
                <w:lang w:val="nl-NL"/>
              </w:rPr>
              <w:t>lende wijzen naar lesgeven te kijken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b)</w:t>
            </w:r>
            <w:r w:rsidRPr="00040C41">
              <w:rPr>
                <w:sz w:val="20"/>
                <w:lang w:val="nl-NL"/>
              </w:rPr>
              <w:tab/>
            </w:r>
            <w:r w:rsidR="00040C41" w:rsidRPr="00040C41">
              <w:rPr>
                <w:sz w:val="20"/>
                <w:lang w:val="nl-NL"/>
              </w:rPr>
              <w:t>leerkrachten uitnodigen om te reflecteren op het lesgeven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c)</w:t>
            </w:r>
            <w:r w:rsidRPr="00040C41">
              <w:rPr>
                <w:sz w:val="20"/>
                <w:lang w:val="nl-NL"/>
              </w:rPr>
              <w:tab/>
            </w:r>
            <w:r w:rsidR="00040C41" w:rsidRPr="00040C41">
              <w:rPr>
                <w:sz w:val="20"/>
                <w:lang w:val="nl-NL"/>
              </w:rPr>
              <w:t xml:space="preserve">een gezamenlijke visie </w:t>
            </w:r>
            <w:r w:rsidR="00040C41">
              <w:rPr>
                <w:sz w:val="20"/>
                <w:lang w:val="nl-NL"/>
              </w:rPr>
              <w:t>creëert op onderwijs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d)</w:t>
            </w:r>
            <w:r w:rsidRPr="00040C41">
              <w:rPr>
                <w:sz w:val="20"/>
                <w:lang w:val="nl-NL"/>
              </w:rPr>
              <w:tab/>
            </w:r>
            <w:r w:rsidR="00040C41" w:rsidRPr="00040C41">
              <w:rPr>
                <w:sz w:val="20"/>
                <w:lang w:val="nl-NL"/>
              </w:rPr>
              <w:t>enthousiasme creëert om je te blijven ontwikkelen in je vak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e)</w:t>
            </w:r>
            <w:r w:rsidRPr="00040C41">
              <w:rPr>
                <w:sz w:val="20"/>
                <w:lang w:val="nl-NL"/>
              </w:rPr>
              <w:tab/>
            </w:r>
            <w:r w:rsidR="00040C41">
              <w:rPr>
                <w:sz w:val="20"/>
                <w:lang w:val="nl-NL"/>
              </w:rPr>
              <w:t>commi</w:t>
            </w:r>
            <w:r w:rsidR="00040C41" w:rsidRPr="00040C41">
              <w:rPr>
                <w:sz w:val="20"/>
                <w:lang w:val="nl-NL"/>
              </w:rPr>
              <w:t>tment creëert en bijdraagt aan onderlinge samenwerking</w:t>
            </w:r>
          </w:p>
          <w:p w:rsidR="00401FA8" w:rsidRPr="001759BD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en-GB"/>
              </w:rPr>
            </w:pPr>
            <w:r w:rsidRPr="001759BD">
              <w:rPr>
                <w:sz w:val="20"/>
                <w:lang w:val="en-GB"/>
              </w:rPr>
              <w:t>f)</w:t>
            </w:r>
            <w:r w:rsidRPr="001759BD">
              <w:rPr>
                <w:sz w:val="20"/>
                <w:lang w:val="en-GB"/>
              </w:rPr>
              <w:tab/>
              <w:t>encourages teachers to be more innovative and flexible</w:t>
            </w:r>
          </w:p>
          <w:p w:rsidR="00401FA8" w:rsidRPr="00040C41" w:rsidRDefault="00401FA8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g)</w:t>
            </w:r>
            <w:r w:rsidRPr="00040C41">
              <w:rPr>
                <w:sz w:val="20"/>
                <w:lang w:val="nl-NL"/>
              </w:rPr>
              <w:tab/>
            </w:r>
            <w:r w:rsidR="00040C41" w:rsidRPr="00040C41">
              <w:rPr>
                <w:sz w:val="20"/>
                <w:lang w:val="nl-NL"/>
              </w:rPr>
              <w:t>credit geeft aan het beroep</w:t>
            </w:r>
            <w:r w:rsidR="00040C41">
              <w:rPr>
                <w:sz w:val="20"/>
                <w:lang w:val="nl-NL"/>
              </w:rPr>
              <w:t xml:space="preserve"> en de bero</w:t>
            </w:r>
            <w:r w:rsidR="00040C41" w:rsidRPr="00040C41">
              <w:rPr>
                <w:sz w:val="20"/>
                <w:lang w:val="nl-NL"/>
              </w:rPr>
              <w:t>e</w:t>
            </w:r>
            <w:r w:rsidR="00040C41">
              <w:rPr>
                <w:sz w:val="20"/>
                <w:lang w:val="nl-NL"/>
              </w:rPr>
              <w:t>p</w:t>
            </w:r>
            <w:r w:rsidR="00040C41" w:rsidRPr="00040C41">
              <w:rPr>
                <w:sz w:val="20"/>
                <w:lang w:val="nl-NL"/>
              </w:rPr>
              <w:t xml:space="preserve">strots </w:t>
            </w:r>
          </w:p>
          <w:p w:rsidR="00401FA8" w:rsidRPr="00040C41" w:rsidRDefault="00040C41" w:rsidP="001759BD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040C41">
              <w:rPr>
                <w:sz w:val="20"/>
                <w:lang w:val="nl-NL"/>
              </w:rPr>
              <w:t>h)</w:t>
            </w:r>
            <w:r w:rsidRPr="00040C41">
              <w:rPr>
                <w:sz w:val="20"/>
                <w:lang w:val="nl-NL"/>
              </w:rPr>
              <w:tab/>
              <w:t>een stimulans is voor levenslang leren</w:t>
            </w:r>
          </w:p>
          <w:p w:rsidR="003A1C43" w:rsidRPr="003E3F81" w:rsidRDefault="00401FA8" w:rsidP="003E3F81">
            <w:pPr>
              <w:tabs>
                <w:tab w:val="left" w:pos="210"/>
              </w:tabs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i)</w:t>
            </w:r>
            <w:r w:rsidRPr="003E3F81">
              <w:rPr>
                <w:sz w:val="20"/>
                <w:lang w:val="nl-NL"/>
              </w:rPr>
              <w:tab/>
            </w:r>
            <w:r w:rsidR="003E3F81" w:rsidRPr="003E3F81">
              <w:rPr>
                <w:sz w:val="20"/>
                <w:lang w:val="nl-NL"/>
              </w:rPr>
              <w:t xml:space="preserve">teamethos creëert binnen de afdeling </w:t>
            </w:r>
            <w:r w:rsidRPr="003E3F81">
              <w:rPr>
                <w:sz w:val="20"/>
                <w:lang w:val="nl-NL"/>
              </w:rPr>
              <w:t>.</w:t>
            </w:r>
          </w:p>
        </w:tc>
      </w:tr>
      <w:tr w:rsidR="003A1C43" w:rsidRPr="00B60595" w:rsidTr="00626BE5">
        <w:tc>
          <w:tcPr>
            <w:tcW w:w="7298" w:type="dxa"/>
            <w:shd w:val="clear" w:color="auto" w:fill="40CE28"/>
          </w:tcPr>
          <w:p w:rsidR="003A1C43" w:rsidRPr="001759BD" w:rsidRDefault="003E3F81" w:rsidP="00396FB4">
            <w:pPr>
              <w:rPr>
                <w:sz w:val="20"/>
                <w:lang w:val="en-GB"/>
              </w:rPr>
            </w:pPr>
            <w:r>
              <w:rPr>
                <w:b/>
              </w:rPr>
              <w:t>Stappen</w:t>
            </w:r>
          </w:p>
        </w:tc>
      </w:tr>
      <w:tr w:rsidR="00B60595" w:rsidRPr="00C719C0" w:rsidTr="00626BE5">
        <w:tc>
          <w:tcPr>
            <w:tcW w:w="7298" w:type="dxa"/>
          </w:tcPr>
          <w:p w:rsidR="00B60595" w:rsidRPr="003E3F81" w:rsidRDefault="003E3F81" w:rsidP="00B60595">
            <w:pPr>
              <w:rPr>
                <w:sz w:val="20"/>
                <w:lang w:val="nl-NL"/>
              </w:rPr>
            </w:pPr>
            <w:r>
              <w:rPr>
                <w:sz w:val="20"/>
                <w:lang w:val="en-GB"/>
              </w:rPr>
              <w:t xml:space="preserve">1. Planning 2. </w:t>
            </w:r>
            <w:r w:rsidRPr="003E3F81">
              <w:rPr>
                <w:sz w:val="20"/>
                <w:lang w:val="nl-NL"/>
              </w:rPr>
              <w:t>Implementatie 3. Beoordeling &amp; Evaluatie</w:t>
            </w:r>
            <w:r w:rsidR="00B60595" w:rsidRPr="003E3F81">
              <w:rPr>
                <w:sz w:val="20"/>
                <w:lang w:val="nl-NL"/>
              </w:rPr>
              <w:t xml:space="preserve"> 4. Feedback</w:t>
            </w:r>
            <w:r w:rsidRPr="003E3F81">
              <w:rPr>
                <w:sz w:val="20"/>
                <w:lang w:val="nl-NL"/>
              </w:rPr>
              <w:t xml:space="preserve"> en actie</w:t>
            </w:r>
          </w:p>
        </w:tc>
      </w:tr>
      <w:tr w:rsidR="003A1C43" w:rsidRPr="00C719C0" w:rsidTr="00626BE5">
        <w:tc>
          <w:tcPr>
            <w:tcW w:w="7298" w:type="dxa"/>
            <w:shd w:val="clear" w:color="auto" w:fill="40CE28"/>
          </w:tcPr>
          <w:p w:rsidR="003A1C43" w:rsidRPr="001759BD" w:rsidRDefault="003E3F81" w:rsidP="00B60595">
            <w:pPr>
              <w:rPr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Duur</w:t>
            </w:r>
            <w:proofErr w:type="spellEnd"/>
            <w:r>
              <w:rPr>
                <w:b/>
                <w:lang w:val="en-GB"/>
              </w:rPr>
              <w:t xml:space="preserve"> van het </w:t>
            </w:r>
            <w:r w:rsidR="00B60595" w:rsidRPr="00751787">
              <w:rPr>
                <w:b/>
                <w:lang w:val="en-GB"/>
              </w:rPr>
              <w:t>project</w:t>
            </w:r>
          </w:p>
        </w:tc>
      </w:tr>
      <w:tr w:rsidR="00B60595" w:rsidRPr="00B60595" w:rsidTr="00626BE5">
        <w:tc>
          <w:tcPr>
            <w:tcW w:w="7298" w:type="dxa"/>
          </w:tcPr>
          <w:p w:rsidR="00B60595" w:rsidRPr="001759BD" w:rsidRDefault="00B60595" w:rsidP="00B60595">
            <w:pPr>
              <w:rPr>
                <w:sz w:val="20"/>
                <w:lang w:val="en-GB"/>
              </w:rPr>
            </w:pPr>
            <w:r w:rsidRPr="001759BD">
              <w:rPr>
                <w:sz w:val="20"/>
                <w:lang w:val="en-GB"/>
              </w:rPr>
              <w:t xml:space="preserve">November 2012 </w:t>
            </w:r>
            <w:r w:rsidR="003E3F81">
              <w:rPr>
                <w:sz w:val="20"/>
                <w:lang w:val="en-GB"/>
              </w:rPr>
              <w:t>- April</w:t>
            </w:r>
            <w:r w:rsidRPr="001759BD">
              <w:rPr>
                <w:sz w:val="20"/>
                <w:lang w:val="en-GB"/>
              </w:rPr>
              <w:t xml:space="preserve"> 2015</w:t>
            </w:r>
          </w:p>
        </w:tc>
      </w:tr>
      <w:tr w:rsidR="003A1C43" w:rsidRPr="00C719C0" w:rsidTr="00626BE5">
        <w:tc>
          <w:tcPr>
            <w:tcW w:w="7298" w:type="dxa"/>
            <w:shd w:val="clear" w:color="auto" w:fill="40CE28"/>
          </w:tcPr>
          <w:p w:rsidR="003A1C43" w:rsidRPr="00396FB4" w:rsidRDefault="003E3F81" w:rsidP="003E3F81">
            <w:pPr>
              <w:rPr>
                <w:b/>
                <w:sz w:val="20"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="00B60595" w:rsidRPr="00396FB4">
              <w:rPr>
                <w:b/>
                <w:lang w:val="en-GB"/>
              </w:rPr>
              <w:t xml:space="preserve">e </w:t>
            </w:r>
            <w:proofErr w:type="spellStart"/>
            <w:r>
              <w:rPr>
                <w:b/>
                <w:lang w:val="en-GB"/>
              </w:rPr>
              <w:t>doelstelling</w:t>
            </w:r>
            <w:proofErr w:type="spellEnd"/>
            <w:r>
              <w:rPr>
                <w:b/>
                <w:lang w:val="en-GB"/>
              </w:rPr>
              <w:t xml:space="preserve"> van het project </w:t>
            </w:r>
            <w:r w:rsidR="00B60595" w:rsidRPr="00396FB4">
              <w:rPr>
                <w:b/>
                <w:sz w:val="20"/>
                <w:lang w:val="en-GB"/>
              </w:rPr>
              <w:t xml:space="preserve"> </w:t>
            </w:r>
            <w:r w:rsidR="005174AC" w:rsidRPr="00396FB4">
              <w:rPr>
                <w:b/>
                <w:sz w:val="20"/>
                <w:lang w:val="en-GB"/>
              </w:rPr>
              <w:t>“Expanding the quality ‘SPIRIT’ of VET“</w:t>
            </w:r>
          </w:p>
        </w:tc>
      </w:tr>
      <w:tr w:rsidR="003A1C43" w:rsidRPr="00C719C0" w:rsidTr="00626BE5">
        <w:trPr>
          <w:trHeight w:val="1813"/>
        </w:trPr>
        <w:tc>
          <w:tcPr>
            <w:tcW w:w="7298" w:type="dxa"/>
          </w:tcPr>
          <w:p w:rsidR="00B60595" w:rsidRPr="003E3F81" w:rsidRDefault="00B60595" w:rsidP="001759BD">
            <w:pPr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 xml:space="preserve">is </w:t>
            </w:r>
            <w:r w:rsidR="003E3F81" w:rsidRPr="003E3F81">
              <w:rPr>
                <w:sz w:val="20"/>
                <w:lang w:val="nl-NL"/>
              </w:rPr>
              <w:t>advi</w:t>
            </w:r>
            <w:r w:rsidR="003E3F81">
              <w:rPr>
                <w:sz w:val="20"/>
                <w:lang w:val="nl-NL"/>
              </w:rPr>
              <w:t>e</w:t>
            </w:r>
            <w:r w:rsidR="003E3F81" w:rsidRPr="003E3F81">
              <w:rPr>
                <w:sz w:val="20"/>
                <w:lang w:val="nl-NL"/>
              </w:rPr>
              <w:t>zen op te stellen die het management ondersteunen om hun medewerkers te motiveren en te betrekken bij kw</w:t>
            </w:r>
            <w:r w:rsidR="003E3F81">
              <w:rPr>
                <w:sz w:val="20"/>
                <w:lang w:val="nl-NL"/>
              </w:rPr>
              <w:t>al</w:t>
            </w:r>
            <w:r w:rsidR="003E3F81" w:rsidRPr="003E3F81">
              <w:rPr>
                <w:sz w:val="20"/>
                <w:lang w:val="nl-NL"/>
              </w:rPr>
              <w:t>itei</w:t>
            </w:r>
            <w:r w:rsidR="003E3F81">
              <w:rPr>
                <w:sz w:val="20"/>
                <w:lang w:val="nl-NL"/>
              </w:rPr>
              <w:t>t</w:t>
            </w:r>
            <w:r w:rsidR="003E3F81" w:rsidRPr="003E3F81">
              <w:rPr>
                <w:sz w:val="20"/>
                <w:lang w:val="nl-NL"/>
              </w:rPr>
              <w:t xml:space="preserve">sinitiatieven in het onderwijs. </w:t>
            </w:r>
          </w:p>
          <w:p w:rsidR="00B60595" w:rsidRPr="003E3F81" w:rsidRDefault="003E3F81" w:rsidP="001759BD">
            <w:pPr>
              <w:ind w:left="142" w:hanging="142"/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Om deze vorm van participatie te kunnen realis</w:t>
            </w:r>
            <w:r>
              <w:rPr>
                <w:sz w:val="20"/>
                <w:lang w:val="nl-NL"/>
              </w:rPr>
              <w:t>e</w:t>
            </w:r>
            <w:r w:rsidRPr="003E3F81">
              <w:rPr>
                <w:sz w:val="20"/>
                <w:lang w:val="nl-NL"/>
              </w:rPr>
              <w:t>ren zullende advi</w:t>
            </w:r>
            <w:r>
              <w:rPr>
                <w:sz w:val="20"/>
                <w:lang w:val="nl-NL"/>
              </w:rPr>
              <w:t>e</w:t>
            </w:r>
            <w:r w:rsidRPr="003E3F81">
              <w:rPr>
                <w:sz w:val="20"/>
                <w:lang w:val="nl-NL"/>
              </w:rPr>
              <w:t>zen gaan o</w:t>
            </w:r>
            <w:r>
              <w:rPr>
                <w:sz w:val="20"/>
                <w:lang w:val="nl-NL"/>
              </w:rPr>
              <w:t>ver de antwoorden op vragen als</w:t>
            </w:r>
            <w:r w:rsidR="001759BD" w:rsidRPr="003E3F81">
              <w:rPr>
                <w:sz w:val="20"/>
                <w:lang w:val="nl-NL"/>
              </w:rPr>
              <w:t>:</w:t>
            </w:r>
          </w:p>
          <w:p w:rsidR="00B60595" w:rsidRPr="003E3F81" w:rsidRDefault="003E3F81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1.</w:t>
            </w:r>
            <w:r w:rsidRPr="003E3F81">
              <w:rPr>
                <w:sz w:val="20"/>
                <w:lang w:val="nl-NL"/>
              </w:rPr>
              <w:tab/>
              <w:t>Hoe creëert men kwaliteitsbewustzijn</w:t>
            </w:r>
            <w:r>
              <w:rPr>
                <w:sz w:val="20"/>
                <w:lang w:val="nl-NL"/>
              </w:rPr>
              <w:t>?</w:t>
            </w:r>
          </w:p>
          <w:p w:rsidR="00B60595" w:rsidRPr="003E3F81" w:rsidRDefault="003E3F81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2.</w:t>
            </w:r>
            <w:r w:rsidRPr="003E3F81">
              <w:rPr>
                <w:sz w:val="20"/>
                <w:lang w:val="nl-NL"/>
              </w:rPr>
              <w:tab/>
              <w:t>Hoe</w:t>
            </w:r>
            <w:r w:rsidR="00B60595" w:rsidRPr="003E3F81">
              <w:rPr>
                <w:sz w:val="20"/>
                <w:lang w:val="nl-NL"/>
              </w:rPr>
              <w:t xml:space="preserve"> </w:t>
            </w:r>
            <w:r w:rsidRPr="003E3F81">
              <w:rPr>
                <w:sz w:val="20"/>
                <w:lang w:val="nl-NL"/>
              </w:rPr>
              <w:t xml:space="preserve">betrek je medewerkers bij </w:t>
            </w:r>
            <w:r>
              <w:rPr>
                <w:sz w:val="20"/>
                <w:lang w:val="nl-NL"/>
              </w:rPr>
              <w:t>het denken over kwaliteit en bijhorende keuze voor bepaalde model?</w:t>
            </w:r>
          </w:p>
          <w:p w:rsidR="00B60595" w:rsidRPr="003E3F81" w:rsidRDefault="003E3F81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3.</w:t>
            </w:r>
            <w:r w:rsidRPr="003E3F81">
              <w:rPr>
                <w:sz w:val="20"/>
                <w:lang w:val="nl-NL"/>
              </w:rPr>
              <w:tab/>
              <w:t>Hoe betrek je de staf bij de planning van een kwaliteitsinitiatief?</w:t>
            </w:r>
          </w:p>
          <w:p w:rsidR="00B60595" w:rsidRPr="003E3F81" w:rsidRDefault="003E3F81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3E3F81">
              <w:rPr>
                <w:sz w:val="20"/>
                <w:lang w:val="nl-NL"/>
              </w:rPr>
              <w:t>4.</w:t>
            </w:r>
            <w:r w:rsidRPr="003E3F81">
              <w:rPr>
                <w:sz w:val="20"/>
                <w:lang w:val="nl-NL"/>
              </w:rPr>
              <w:tab/>
              <w:t xml:space="preserve">Hoe houdt je de motivatie van de staf hoog </w:t>
            </w:r>
            <w:r>
              <w:rPr>
                <w:sz w:val="20"/>
                <w:lang w:val="nl-NL"/>
              </w:rPr>
              <w:t xml:space="preserve">bij de implementatie ervan? </w:t>
            </w:r>
          </w:p>
          <w:p w:rsidR="00B60595" w:rsidRPr="0068609C" w:rsidRDefault="0068609C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68609C">
              <w:rPr>
                <w:sz w:val="20"/>
                <w:lang w:val="nl-NL"/>
              </w:rPr>
              <w:t>5.</w:t>
            </w:r>
            <w:r w:rsidRPr="0068609C">
              <w:rPr>
                <w:sz w:val="20"/>
                <w:lang w:val="nl-NL"/>
              </w:rPr>
              <w:tab/>
              <w:t xml:space="preserve">Hoe richt je samen het evaluatie </w:t>
            </w:r>
            <w:r>
              <w:rPr>
                <w:sz w:val="20"/>
                <w:lang w:val="nl-NL"/>
              </w:rPr>
              <w:t>proces</w:t>
            </w:r>
            <w:r w:rsidRPr="0068609C">
              <w:rPr>
                <w:sz w:val="20"/>
                <w:lang w:val="nl-NL"/>
              </w:rPr>
              <w:t xml:space="preserve"> in? </w:t>
            </w:r>
          </w:p>
          <w:p w:rsidR="00B60595" w:rsidRPr="0068609C" w:rsidRDefault="0068609C" w:rsidP="001759BD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 w:rsidRPr="0068609C">
              <w:rPr>
                <w:sz w:val="20"/>
                <w:lang w:val="nl-NL"/>
              </w:rPr>
              <w:t>6.</w:t>
            </w:r>
            <w:r w:rsidRPr="0068609C">
              <w:rPr>
                <w:sz w:val="20"/>
                <w:lang w:val="nl-NL"/>
              </w:rPr>
              <w:tab/>
              <w:t>Hoe maak je samen keuzes en maak je een plan voor verbeteringen?</w:t>
            </w:r>
            <w:r w:rsidR="00B60595" w:rsidRPr="0068609C">
              <w:rPr>
                <w:sz w:val="20"/>
                <w:lang w:val="nl-NL"/>
              </w:rPr>
              <w:t xml:space="preserve"> </w:t>
            </w:r>
          </w:p>
          <w:p w:rsidR="00626BE5" w:rsidRPr="0068609C" w:rsidRDefault="0068609C" w:rsidP="007108A6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7.</w:t>
            </w:r>
            <w:r>
              <w:rPr>
                <w:sz w:val="20"/>
                <w:lang w:val="nl-NL"/>
              </w:rPr>
              <w:tab/>
              <w:t>W</w:t>
            </w:r>
            <w:r w:rsidRPr="0068609C">
              <w:rPr>
                <w:sz w:val="20"/>
                <w:lang w:val="nl-NL"/>
              </w:rPr>
              <w:t>at betek</w:t>
            </w:r>
            <w:r>
              <w:rPr>
                <w:sz w:val="20"/>
                <w:lang w:val="nl-NL"/>
              </w:rPr>
              <w:t>ent dit voor de stijl van leidin</w:t>
            </w:r>
            <w:r w:rsidRPr="0068609C">
              <w:rPr>
                <w:sz w:val="20"/>
                <w:lang w:val="nl-NL"/>
              </w:rPr>
              <w:t xml:space="preserve">ggeven? </w:t>
            </w:r>
          </w:p>
          <w:p w:rsidR="007108A6" w:rsidRPr="0068609C" w:rsidRDefault="007108A6" w:rsidP="007108A6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nl-NL"/>
              </w:rPr>
            </w:pPr>
          </w:p>
        </w:tc>
      </w:tr>
      <w:tr w:rsidR="00F83177" w:rsidTr="00626BE5">
        <w:tc>
          <w:tcPr>
            <w:tcW w:w="7298" w:type="dxa"/>
            <w:shd w:val="clear" w:color="auto" w:fill="40CE28"/>
          </w:tcPr>
          <w:p w:rsidR="00F83177" w:rsidRPr="001E4AFC" w:rsidRDefault="00F83177" w:rsidP="00630210">
            <w:pPr>
              <w:rPr>
                <w:b/>
                <w:sz w:val="20"/>
              </w:rPr>
            </w:pPr>
            <w:r w:rsidRPr="001E4AFC">
              <w:rPr>
                <w:b/>
                <w:sz w:val="20"/>
              </w:rPr>
              <w:lastRenderedPageBreak/>
              <w:t>Agenda</w:t>
            </w:r>
          </w:p>
        </w:tc>
      </w:tr>
      <w:tr w:rsidR="00F83177" w:rsidTr="00626BE5">
        <w:tc>
          <w:tcPr>
            <w:tcW w:w="7298" w:type="dxa"/>
          </w:tcPr>
          <w:p w:rsidR="00626BE5" w:rsidRDefault="00626BE5" w:rsidP="00630210">
            <w:pPr>
              <w:rPr>
                <w:sz w:val="20"/>
              </w:rPr>
            </w:pPr>
          </w:p>
          <w:p w:rsidR="00626BE5" w:rsidRDefault="00626BE5" w:rsidP="00630210">
            <w:pPr>
              <w:rPr>
                <w:sz w:val="20"/>
              </w:rPr>
            </w:pPr>
          </w:p>
          <w:p w:rsidR="00626BE5" w:rsidRPr="001759BD" w:rsidRDefault="00626BE5" w:rsidP="00630210">
            <w:pPr>
              <w:rPr>
                <w:sz w:val="20"/>
              </w:rPr>
            </w:pPr>
          </w:p>
        </w:tc>
      </w:tr>
      <w:tr w:rsidR="00F83177" w:rsidRPr="00C719C0" w:rsidTr="00626BE5">
        <w:tc>
          <w:tcPr>
            <w:tcW w:w="7298" w:type="dxa"/>
          </w:tcPr>
          <w:p w:rsidR="00751787" w:rsidRPr="0068609C" w:rsidRDefault="0068609C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09:30</w:t>
            </w:r>
            <w:r w:rsidRPr="0068609C">
              <w:rPr>
                <w:sz w:val="24"/>
                <w:lang w:val="nl-NL"/>
              </w:rPr>
              <w:tab/>
              <w:t>Welkom,</w:t>
            </w:r>
            <w:r w:rsidR="00751787" w:rsidRPr="0068609C">
              <w:rPr>
                <w:sz w:val="24"/>
                <w:lang w:val="nl-NL"/>
              </w:rPr>
              <w:t xml:space="preserve"> </w:t>
            </w:r>
            <w:r w:rsidRPr="0068609C">
              <w:rPr>
                <w:sz w:val="24"/>
                <w:lang w:val="nl-NL"/>
              </w:rPr>
              <w:t>koffie en registratie van de deelnemers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10:00</w:t>
            </w:r>
            <w:r w:rsidRPr="0068609C">
              <w:rPr>
                <w:sz w:val="24"/>
                <w:lang w:val="nl-NL"/>
              </w:rPr>
              <w:tab/>
            </w:r>
            <w:r w:rsidR="0068609C" w:rsidRPr="0068609C">
              <w:rPr>
                <w:sz w:val="24"/>
                <w:lang w:val="nl-NL"/>
              </w:rPr>
              <w:t>Korte toelichting op het programma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10,15</w:t>
            </w:r>
            <w:r w:rsidRPr="0068609C">
              <w:rPr>
                <w:sz w:val="24"/>
                <w:lang w:val="nl-NL"/>
              </w:rPr>
              <w:tab/>
            </w:r>
            <w:r w:rsidR="0068609C" w:rsidRPr="0068609C">
              <w:rPr>
                <w:sz w:val="24"/>
                <w:lang w:val="nl-NL"/>
              </w:rPr>
              <w:t>Project presentatie</w:t>
            </w:r>
            <w:r w:rsidRPr="0068609C">
              <w:rPr>
                <w:sz w:val="24"/>
                <w:lang w:val="nl-NL"/>
              </w:rPr>
              <w:t xml:space="preserve"> </w:t>
            </w:r>
          </w:p>
          <w:p w:rsidR="00751787" w:rsidRPr="0068609C" w:rsidRDefault="0068609C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10,30</w:t>
            </w:r>
            <w:r w:rsidRPr="0068609C">
              <w:rPr>
                <w:sz w:val="24"/>
                <w:lang w:val="nl-NL"/>
              </w:rPr>
              <w:tab/>
              <w:t>Tool</w:t>
            </w:r>
            <w:r>
              <w:rPr>
                <w:sz w:val="24"/>
                <w:lang w:val="nl-NL"/>
              </w:rPr>
              <w:t>s en</w:t>
            </w:r>
            <w:r w:rsidRPr="0068609C">
              <w:rPr>
                <w:sz w:val="24"/>
                <w:lang w:val="nl-NL"/>
              </w:rPr>
              <w:t xml:space="preserve"> instrumenten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10,45</w:t>
            </w:r>
            <w:r w:rsidRPr="0068609C">
              <w:rPr>
                <w:sz w:val="24"/>
                <w:lang w:val="nl-NL"/>
              </w:rPr>
              <w:tab/>
            </w:r>
            <w:r w:rsidR="0068609C" w:rsidRPr="0068609C">
              <w:rPr>
                <w:sz w:val="24"/>
                <w:lang w:val="nl-NL"/>
              </w:rPr>
              <w:t xml:space="preserve">Uitkomsten van het onderzoek 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26BE5">
              <w:rPr>
                <w:sz w:val="24"/>
                <w:lang w:val="en-GB"/>
              </w:rPr>
              <w:t>11:00</w:t>
            </w:r>
            <w:r w:rsidRPr="00626BE5">
              <w:rPr>
                <w:sz w:val="24"/>
                <w:lang w:val="en-GB"/>
              </w:rPr>
              <w:tab/>
            </w:r>
            <w:r w:rsidR="0068609C">
              <w:rPr>
                <w:sz w:val="24"/>
                <w:lang w:val="en-GB"/>
              </w:rPr>
              <w:t>Best practice</w:t>
            </w:r>
            <w:r w:rsidRPr="00626BE5">
              <w:rPr>
                <w:sz w:val="24"/>
                <w:lang w:val="en-GB"/>
              </w:rPr>
              <w:t xml:space="preserve"> – </w:t>
            </w:r>
            <w:r w:rsidR="0068609C" w:rsidRPr="0068609C">
              <w:rPr>
                <w:sz w:val="24"/>
                <w:lang w:val="nl-NL"/>
              </w:rPr>
              <w:t xml:space="preserve">presentatie </w:t>
            </w:r>
            <w:r w:rsidRPr="0068609C">
              <w:rPr>
                <w:sz w:val="24"/>
                <w:lang w:val="nl-NL"/>
              </w:rPr>
              <w:t xml:space="preserve">1 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11</w:t>
            </w:r>
            <w:r w:rsidR="0068609C" w:rsidRPr="0068609C">
              <w:rPr>
                <w:sz w:val="24"/>
                <w:lang w:val="nl-NL"/>
              </w:rPr>
              <w:t>:15</w:t>
            </w:r>
            <w:r w:rsidR="0068609C" w:rsidRPr="0068609C">
              <w:rPr>
                <w:sz w:val="24"/>
                <w:lang w:val="nl-NL"/>
              </w:rPr>
              <w:tab/>
              <w:t>Best practice – presentatie</w:t>
            </w:r>
            <w:r w:rsidRPr="0068609C">
              <w:rPr>
                <w:sz w:val="24"/>
                <w:lang w:val="nl-NL"/>
              </w:rPr>
              <w:t xml:space="preserve"> 2</w:t>
            </w:r>
          </w:p>
          <w:p w:rsidR="00751787" w:rsidRPr="0068609C" w:rsidRDefault="0068609C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11:30</w:t>
            </w:r>
            <w:r w:rsidRPr="0068609C">
              <w:rPr>
                <w:sz w:val="24"/>
                <w:lang w:val="nl-NL"/>
              </w:rPr>
              <w:tab/>
              <w:t xml:space="preserve">Vragen </w:t>
            </w:r>
            <w:r w:rsidR="001E4AFC" w:rsidRPr="0068609C">
              <w:rPr>
                <w:sz w:val="24"/>
                <w:lang w:val="nl-NL"/>
              </w:rPr>
              <w:t xml:space="preserve">- </w:t>
            </w:r>
            <w:r w:rsidRPr="0068609C">
              <w:rPr>
                <w:sz w:val="24"/>
                <w:lang w:val="nl-NL"/>
              </w:rPr>
              <w:t xml:space="preserve"> Conclusies</w:t>
            </w:r>
          </w:p>
          <w:p w:rsidR="00751787" w:rsidRPr="0068609C" w:rsidRDefault="0068609C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13:</w:t>
            </w:r>
            <w:r w:rsidR="00751787" w:rsidRPr="0068609C">
              <w:rPr>
                <w:sz w:val="24"/>
                <w:lang w:val="nl-NL"/>
              </w:rPr>
              <w:t xml:space="preserve">30 </w:t>
            </w:r>
            <w:r w:rsidR="001E4AFC" w:rsidRPr="0068609C">
              <w:rPr>
                <w:sz w:val="24"/>
                <w:lang w:val="nl-NL"/>
              </w:rPr>
              <w:tab/>
              <w:t>Lunch</w:t>
            </w:r>
          </w:p>
          <w:p w:rsidR="001E4AFC" w:rsidRPr="0068609C" w:rsidRDefault="001E4AFC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8609C">
              <w:rPr>
                <w:sz w:val="24"/>
                <w:lang w:val="nl-NL"/>
              </w:rPr>
              <w:t>14:30</w:t>
            </w:r>
            <w:r w:rsidRPr="0068609C">
              <w:rPr>
                <w:sz w:val="24"/>
                <w:lang w:val="nl-NL"/>
              </w:rPr>
              <w:tab/>
            </w:r>
            <w:r w:rsidR="0068609C" w:rsidRPr="0068609C">
              <w:rPr>
                <w:sz w:val="24"/>
                <w:lang w:val="nl-NL"/>
              </w:rPr>
              <w:t>Discussie in groepen</w:t>
            </w:r>
          </w:p>
          <w:p w:rsidR="00751787" w:rsidRPr="0068609C" w:rsidRDefault="00751787" w:rsidP="001E4AFC">
            <w:pPr>
              <w:tabs>
                <w:tab w:val="left" w:pos="1470"/>
              </w:tabs>
              <w:rPr>
                <w:sz w:val="24"/>
                <w:lang w:val="nl-NL"/>
              </w:rPr>
            </w:pPr>
            <w:r w:rsidRPr="00626BE5">
              <w:rPr>
                <w:sz w:val="24"/>
                <w:lang w:val="en-GB"/>
              </w:rPr>
              <w:t>1</w:t>
            </w:r>
            <w:r w:rsidR="001E4AFC" w:rsidRPr="00626BE5">
              <w:rPr>
                <w:sz w:val="24"/>
                <w:lang w:val="en-GB"/>
              </w:rPr>
              <w:t>5</w:t>
            </w:r>
            <w:r w:rsidRPr="00626BE5">
              <w:rPr>
                <w:sz w:val="24"/>
                <w:lang w:val="en-GB"/>
              </w:rPr>
              <w:t>,30</w:t>
            </w:r>
            <w:r w:rsidR="001E4AFC" w:rsidRPr="00626BE5">
              <w:rPr>
                <w:sz w:val="24"/>
                <w:lang w:val="en-GB"/>
              </w:rPr>
              <w:tab/>
            </w:r>
            <w:r w:rsidR="001E4AFC" w:rsidRPr="0068609C">
              <w:rPr>
                <w:sz w:val="24"/>
                <w:lang w:val="nl-NL"/>
              </w:rPr>
              <w:t>Rond</w:t>
            </w:r>
            <w:r w:rsidR="0068609C" w:rsidRPr="0068609C">
              <w:rPr>
                <w:sz w:val="24"/>
                <w:lang w:val="nl-NL"/>
              </w:rPr>
              <w:t>e Tafel</w:t>
            </w:r>
            <w:r w:rsidRPr="0068609C">
              <w:rPr>
                <w:sz w:val="24"/>
                <w:lang w:val="nl-NL"/>
              </w:rPr>
              <w:t xml:space="preserve"> </w:t>
            </w:r>
          </w:p>
          <w:p w:rsidR="00F83177" w:rsidRPr="00C719C0" w:rsidRDefault="00751787" w:rsidP="0068609C">
            <w:pPr>
              <w:tabs>
                <w:tab w:val="left" w:pos="1470"/>
              </w:tabs>
              <w:rPr>
                <w:sz w:val="20"/>
                <w:lang w:val="en-GB"/>
              </w:rPr>
            </w:pPr>
            <w:r w:rsidRPr="0068609C">
              <w:rPr>
                <w:sz w:val="24"/>
                <w:lang w:val="nl-NL"/>
              </w:rPr>
              <w:t>16,30</w:t>
            </w:r>
            <w:r w:rsidR="001E4AFC" w:rsidRPr="0068609C">
              <w:rPr>
                <w:sz w:val="24"/>
                <w:lang w:val="nl-NL"/>
              </w:rPr>
              <w:tab/>
            </w:r>
            <w:r w:rsidR="0068609C" w:rsidRPr="0068609C">
              <w:rPr>
                <w:sz w:val="24"/>
                <w:lang w:val="nl-NL"/>
              </w:rPr>
              <w:t>Afsluiting</w:t>
            </w:r>
            <w:r w:rsidRPr="00626BE5">
              <w:rPr>
                <w:sz w:val="24"/>
                <w:lang w:val="en-GB"/>
              </w:rPr>
              <w:t xml:space="preserve"> </w:t>
            </w:r>
          </w:p>
        </w:tc>
      </w:tr>
      <w:tr w:rsidR="00F83177" w:rsidRPr="00C719C0" w:rsidTr="00626BE5">
        <w:trPr>
          <w:trHeight w:val="275"/>
        </w:trPr>
        <w:tc>
          <w:tcPr>
            <w:tcW w:w="7298" w:type="dxa"/>
          </w:tcPr>
          <w:p w:rsidR="00F83177" w:rsidRPr="00C719C0" w:rsidRDefault="00F83177" w:rsidP="00630210">
            <w:pPr>
              <w:rPr>
                <w:sz w:val="20"/>
                <w:lang w:val="en-GB"/>
              </w:rPr>
            </w:pPr>
          </w:p>
          <w:p w:rsidR="001E4AFC" w:rsidRPr="00C719C0" w:rsidRDefault="001E4AFC" w:rsidP="00630210">
            <w:pPr>
              <w:rPr>
                <w:sz w:val="20"/>
                <w:lang w:val="en-GB"/>
              </w:rPr>
            </w:pPr>
          </w:p>
          <w:p w:rsidR="001E4AFC" w:rsidRPr="00C719C0" w:rsidRDefault="001E4AFC" w:rsidP="00630210">
            <w:pPr>
              <w:rPr>
                <w:sz w:val="20"/>
                <w:lang w:val="en-GB"/>
              </w:rPr>
            </w:pPr>
          </w:p>
        </w:tc>
      </w:tr>
      <w:tr w:rsidR="00F83177" w:rsidRPr="00C719C0" w:rsidTr="00626BE5">
        <w:trPr>
          <w:trHeight w:val="279"/>
        </w:trPr>
        <w:tc>
          <w:tcPr>
            <w:tcW w:w="7298" w:type="dxa"/>
            <w:shd w:val="clear" w:color="auto" w:fill="40CE28"/>
          </w:tcPr>
          <w:p w:rsidR="00F83177" w:rsidRPr="0068609C" w:rsidRDefault="0068609C" w:rsidP="001E4AFC">
            <w:pPr>
              <w:ind w:left="709" w:hanging="709"/>
              <w:rPr>
                <w:b/>
                <w:sz w:val="20"/>
              </w:rPr>
            </w:pPr>
            <w:r w:rsidRPr="0068609C">
              <w:rPr>
                <w:b/>
                <w:sz w:val="20"/>
              </w:rPr>
              <w:t>Onderwerpen</w:t>
            </w:r>
            <w:r w:rsidR="001E4AFC" w:rsidRPr="0068609C">
              <w:rPr>
                <w:b/>
                <w:sz w:val="20"/>
              </w:rPr>
              <w:t xml:space="preserve"> : </w:t>
            </w:r>
            <w:r>
              <w:rPr>
                <w:b/>
                <w:sz w:val="20"/>
              </w:rPr>
              <w:t>Hoe kan het bero</w:t>
            </w:r>
            <w:r w:rsidRPr="0068609C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</w:t>
            </w:r>
            <w:r w:rsidRPr="0068609C">
              <w:rPr>
                <w:b/>
                <w:sz w:val="20"/>
              </w:rPr>
              <w:t>sonderwijs zorg drage</w:t>
            </w:r>
            <w:r>
              <w:rPr>
                <w:b/>
                <w:sz w:val="20"/>
              </w:rPr>
              <w:t>n</w:t>
            </w:r>
            <w:r w:rsidR="00C1405A">
              <w:rPr>
                <w:b/>
                <w:sz w:val="20"/>
              </w:rPr>
              <w:t xml:space="preserve"> voor een g</w:t>
            </w:r>
            <w:r w:rsidRPr="0068609C">
              <w:rPr>
                <w:b/>
                <w:sz w:val="20"/>
              </w:rPr>
              <w:t>o</w:t>
            </w:r>
            <w:r w:rsidR="00C1405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de </w:t>
            </w:r>
            <w:r w:rsidR="00C1405A">
              <w:rPr>
                <w:b/>
                <w:sz w:val="20"/>
              </w:rPr>
              <w:t>kwal</w:t>
            </w:r>
            <w:r>
              <w:rPr>
                <w:b/>
                <w:sz w:val="20"/>
              </w:rPr>
              <w:t>iteit van het onderwijs?</w:t>
            </w:r>
            <w:r>
              <w:rPr>
                <w:b/>
                <w:sz w:val="20"/>
              </w:rPr>
              <w:br/>
              <w:t>Voor welke uitdagingen staat het beroepsonderwijs en hoe gaat het daar mee on?</w:t>
            </w:r>
          </w:p>
        </w:tc>
      </w:tr>
      <w:tr w:rsidR="00F83177" w:rsidRPr="00C719C0" w:rsidTr="00626BE5">
        <w:trPr>
          <w:trHeight w:val="283"/>
        </w:trPr>
        <w:tc>
          <w:tcPr>
            <w:tcW w:w="7298" w:type="dxa"/>
          </w:tcPr>
          <w:p w:rsidR="00F83177" w:rsidRPr="0068609C" w:rsidRDefault="00F83177" w:rsidP="00630210">
            <w:pPr>
              <w:rPr>
                <w:sz w:val="20"/>
              </w:rPr>
            </w:pPr>
          </w:p>
        </w:tc>
      </w:tr>
      <w:tr w:rsidR="00F83177" w:rsidRPr="00C719C0" w:rsidTr="00626BE5">
        <w:trPr>
          <w:trHeight w:val="1535"/>
        </w:trPr>
        <w:tc>
          <w:tcPr>
            <w:tcW w:w="7298" w:type="dxa"/>
          </w:tcPr>
          <w:p w:rsidR="001E4AFC" w:rsidRPr="00C1405A" w:rsidRDefault="00C1405A" w:rsidP="001E4AFC">
            <w:pPr>
              <w:rPr>
                <w:sz w:val="20"/>
                <w:lang w:val="nl-NL"/>
              </w:rPr>
            </w:pPr>
            <w:r>
              <w:rPr>
                <w:sz w:val="20"/>
              </w:rPr>
              <w:t>Een open en veilige</w:t>
            </w:r>
            <w:r w:rsidR="001E4AFC" w:rsidRPr="006860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cultuur is een belangrijke randvoorwaarde om te kunnen werken aan kwaliteit en aan de ontwikkeling van leerkrachten. </w:t>
            </w:r>
          </w:p>
          <w:p w:rsidR="00626BE5" w:rsidRPr="00C1405A" w:rsidRDefault="00C1405A" w:rsidP="001E4AFC">
            <w:pPr>
              <w:rPr>
                <w:sz w:val="20"/>
                <w:lang w:val="nl-NL"/>
              </w:rPr>
            </w:pPr>
            <w:r w:rsidRPr="00C1405A">
              <w:rPr>
                <w:sz w:val="20"/>
                <w:lang w:val="nl-NL"/>
              </w:rPr>
              <w:t xml:space="preserve"> </w:t>
            </w:r>
          </w:p>
          <w:p w:rsidR="001E4AFC" w:rsidRPr="00C1405A" w:rsidRDefault="00C1405A" w:rsidP="001E4AFC">
            <w:pPr>
              <w:rPr>
                <w:sz w:val="20"/>
                <w:lang w:val="nl-NL"/>
              </w:rPr>
            </w:pPr>
            <w:r w:rsidRPr="00C1405A">
              <w:rPr>
                <w:sz w:val="20"/>
                <w:lang w:val="nl-NL"/>
              </w:rPr>
              <w:t>Leerkr</w:t>
            </w:r>
            <w:r>
              <w:rPr>
                <w:sz w:val="20"/>
                <w:lang w:val="nl-NL"/>
              </w:rPr>
              <w:t>achten zij sceptisch over kwalit</w:t>
            </w:r>
            <w:r w:rsidRPr="00C1405A">
              <w:rPr>
                <w:sz w:val="20"/>
                <w:lang w:val="nl-NL"/>
              </w:rPr>
              <w:t>e</w:t>
            </w:r>
            <w:r>
              <w:rPr>
                <w:sz w:val="20"/>
                <w:lang w:val="nl-NL"/>
              </w:rPr>
              <w:t>i</w:t>
            </w:r>
            <w:r w:rsidRPr="00C1405A">
              <w:rPr>
                <w:sz w:val="20"/>
                <w:lang w:val="nl-NL"/>
              </w:rPr>
              <w:t xml:space="preserve">tsinitiatieven omdat deze vaak geen duidelijk doel hebben of onvoldoende worden gefaciliteerd. </w:t>
            </w:r>
          </w:p>
          <w:p w:rsidR="00626BE5" w:rsidRPr="00C1405A" w:rsidRDefault="00626BE5" w:rsidP="001E4AFC">
            <w:pPr>
              <w:rPr>
                <w:sz w:val="20"/>
                <w:lang w:val="nl-NL"/>
              </w:rPr>
            </w:pPr>
          </w:p>
          <w:p w:rsidR="00F83177" w:rsidRPr="00C1405A" w:rsidRDefault="00C1405A" w:rsidP="001E4AFC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Kwaliteitsinitiatieven worden vaak gevol</w:t>
            </w:r>
            <w:r w:rsidRPr="00C1405A">
              <w:rPr>
                <w:sz w:val="20"/>
                <w:lang w:val="nl-NL"/>
              </w:rPr>
              <w:t>gd door weer nieuwe initiatieven.</w:t>
            </w:r>
            <w:r>
              <w:rPr>
                <w:sz w:val="20"/>
                <w:lang w:val="nl-NL"/>
              </w:rPr>
              <w:t xml:space="preserve"> Hierdoor ontstaat onrust in de organisatie en is er vaak te weinig tijd voor een goede implementatie.</w:t>
            </w:r>
          </w:p>
        </w:tc>
      </w:tr>
    </w:tbl>
    <w:p w:rsidR="00331766" w:rsidRPr="00C1405A" w:rsidRDefault="00F83177">
      <w:pPr>
        <w:rPr>
          <w:lang w:val="nl-NL"/>
        </w:rPr>
      </w:pPr>
      <w:r w:rsidRPr="00C1405A">
        <w:rPr>
          <w:lang w:val="nl-NL"/>
        </w:rPr>
        <w:t xml:space="preserve"> </w:t>
      </w:r>
      <w:r w:rsidR="00331766" w:rsidRPr="00C1405A">
        <w:rPr>
          <w:lang w:val="nl-NL"/>
        </w:rPr>
        <w:br w:type="page"/>
      </w:r>
    </w:p>
    <w:tbl>
      <w:tblPr>
        <w:tblStyle w:val="Tabellrutnt"/>
        <w:tblW w:w="7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697"/>
        <w:gridCol w:w="1544"/>
        <w:gridCol w:w="1554"/>
        <w:gridCol w:w="705"/>
        <w:gridCol w:w="1821"/>
        <w:gridCol w:w="1088"/>
      </w:tblGrid>
      <w:tr w:rsidR="00011236" w:rsidRPr="0062247A" w:rsidTr="008C43A9">
        <w:trPr>
          <w:trHeight w:val="1265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EDC" w:rsidRPr="000D6D16" w:rsidRDefault="0062247A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lastRenderedPageBreak/>
              <w:br w:type="page"/>
            </w:r>
            <w:r w:rsidRPr="000D6D16">
              <w:rPr>
                <w:sz w:val="18"/>
                <w:lang w:val="nn-NO"/>
              </w:rPr>
              <w:br w:type="page"/>
            </w:r>
            <w:r w:rsidR="00C1405A">
              <w:rPr>
                <w:sz w:val="18"/>
                <w:lang w:val="nn-NO"/>
              </w:rPr>
              <w:t>Contact</w:t>
            </w:r>
            <w:r w:rsidR="00292EDC" w:rsidRPr="000D6D16">
              <w:rPr>
                <w:sz w:val="18"/>
                <w:lang w:val="nn-NO"/>
              </w:rPr>
              <w:t>:</w:t>
            </w: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 xml:space="preserve">Folkuniversitetet </w:t>
            </w:r>
            <w:r w:rsidR="000D6D16">
              <w:rPr>
                <w:sz w:val="18"/>
                <w:lang w:val="nn-NO"/>
              </w:rPr>
              <w:t>Uppsala</w:t>
            </w:r>
          </w:p>
          <w:p w:rsidR="0062247A" w:rsidRP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>Portalgatan 2, 754 23 Uppsala, Sweden</w:t>
            </w:r>
          </w:p>
          <w:p w:rsidR="0001123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 xml:space="preserve"> +46 018-68 00 00</w:t>
            </w:r>
            <w:r w:rsidR="0062247A" w:rsidRPr="000D6D16">
              <w:rPr>
                <w:sz w:val="18"/>
                <w:lang w:val="nn-NO"/>
              </w:rPr>
              <w:tab/>
            </w:r>
            <w:hyperlink r:id="rId7" w:history="1">
              <w:r w:rsidR="0062247A" w:rsidRPr="000D6D16">
                <w:rPr>
                  <w:rStyle w:val="Hyperlnk"/>
                  <w:sz w:val="18"/>
                  <w:lang w:val="nn-NO"/>
                </w:rPr>
                <w:t>ali.rashidi@folkuniversitetet.se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REVALEN</w:t>
            </w:r>
            <w:r w:rsidR="000D6D16">
              <w:rPr>
                <w:sz w:val="18"/>
                <w:lang w:val="da-DK"/>
              </w:rPr>
              <w:t>TO</w:t>
            </w:r>
          </w:p>
          <w:p w:rsidR="00292EDC" w:rsidRP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J.P. Coenstraat 70 5018 CT Tilburg Nederland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e-DE"/>
              </w:rPr>
              <w:t>+31 135802848</w:t>
            </w:r>
            <w:r w:rsidRPr="000D6D16">
              <w:rPr>
                <w:sz w:val="18"/>
                <w:lang w:val="de-DE"/>
              </w:rPr>
              <w:tab/>
            </w:r>
            <w:hyperlink r:id="rId8" w:history="1">
              <w:r w:rsidRPr="000D6D16">
                <w:rPr>
                  <w:rStyle w:val="Hyperlnk"/>
                  <w:sz w:val="18"/>
                  <w:lang w:val="de-DE"/>
                </w:rPr>
                <w:t>winkel@revalento.nl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</w:p>
          <w:p w:rsid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r w:rsidRPr="000D6D16">
              <w:rPr>
                <w:sz w:val="18"/>
                <w:lang w:val="de-DE"/>
              </w:rPr>
              <w:t xml:space="preserve">Quality Austria - Trainings, </w:t>
            </w:r>
            <w:proofErr w:type="spellStart"/>
            <w:r w:rsidRPr="000D6D16">
              <w:rPr>
                <w:sz w:val="18"/>
                <w:lang w:val="de-DE"/>
              </w:rPr>
              <w:t>Zertifizierungs</w:t>
            </w:r>
            <w:proofErr w:type="spellEnd"/>
            <w:r w:rsidRPr="000D6D16">
              <w:rPr>
                <w:sz w:val="18"/>
                <w:lang w:val="de-DE"/>
              </w:rPr>
              <w:t xml:space="preserve"> und </w:t>
            </w:r>
            <w:proofErr w:type="spellStart"/>
            <w:r w:rsidRPr="000D6D16">
              <w:rPr>
                <w:sz w:val="18"/>
                <w:lang w:val="de-DE"/>
              </w:rPr>
              <w:t>Begutachtungs</w:t>
            </w:r>
            <w:proofErr w:type="spellEnd"/>
            <w:r w:rsidRPr="000D6D16">
              <w:rPr>
                <w:sz w:val="18"/>
                <w:lang w:val="de-DE"/>
              </w:rPr>
              <w:t xml:space="preserve"> GmbH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proofErr w:type="spellStart"/>
            <w:r w:rsidRPr="000D6D16">
              <w:rPr>
                <w:sz w:val="18"/>
                <w:lang w:val="de-DE"/>
              </w:rPr>
              <w:t>Zelinkagasse</w:t>
            </w:r>
            <w:proofErr w:type="spellEnd"/>
            <w:r w:rsidRPr="000D6D16">
              <w:rPr>
                <w:sz w:val="18"/>
                <w:lang w:val="de-DE"/>
              </w:rPr>
              <w:t xml:space="preserve"> 10/3 1010 Wien, Austria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Tel.: (+43 1) 274 87 47</w:t>
            </w:r>
            <w:r w:rsidRPr="000D6D16">
              <w:rPr>
                <w:sz w:val="18"/>
              </w:rPr>
              <w:tab/>
            </w:r>
            <w:hyperlink r:id="rId9" w:history="1">
              <w:r w:rsidRPr="000D6D16">
                <w:rPr>
                  <w:rStyle w:val="Hyperlnk"/>
                  <w:sz w:val="18"/>
                </w:rPr>
                <w:t>office@qualityaustria.com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USR Friuli Venezia Giulia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Via Santi Martiri, 3 – 34123 Trieste Italy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+390404194111</w:t>
            </w:r>
            <w:r w:rsidRPr="000D6D16">
              <w:rPr>
                <w:sz w:val="18"/>
              </w:rPr>
              <w:tab/>
            </w:r>
            <w:hyperlink r:id="rId10" w:history="1">
              <w:r w:rsidRPr="000D6D16">
                <w:rPr>
                  <w:rStyle w:val="Hyperlnk"/>
                  <w:sz w:val="18"/>
                </w:rPr>
                <w:t>direzione-friuliveneziagiulia@istruzione.it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 xml:space="preserve">Beypazarı İlçe Milli Eğitim Müdürlüğü </w:t>
            </w:r>
            <w:r w:rsidR="000D6D16" w:rsidRPr="000D6D16">
              <w:rPr>
                <w:sz w:val="18"/>
              </w:rPr>
              <w:t xml:space="preserve"> (Beypazarı District Directorate For National Education)</w:t>
            </w:r>
            <w:r w:rsidRPr="000D6D16">
              <w:rPr>
                <w:sz w:val="18"/>
              </w:rPr>
              <w:br/>
            </w:r>
            <w:r w:rsidR="000D6D16" w:rsidRPr="000D6D16">
              <w:rPr>
                <w:sz w:val="18"/>
              </w:rPr>
              <w:t xml:space="preserve">Milli Egemenlik Caddesi Halil Şıvgın Sok. No 4 Beypazarı Ankara 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Tel:+905054545562</w:t>
            </w:r>
            <w:r w:rsidRPr="000D6D16">
              <w:rPr>
                <w:sz w:val="18"/>
              </w:rPr>
              <w:tab/>
              <w:t>Email: atemur28@hotmail.com</w:t>
            </w:r>
          </w:p>
        </w:tc>
      </w:tr>
      <w:tr w:rsidR="00011236" w:rsidRPr="0062247A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Pr="0062247A" w:rsidRDefault="00011236" w:rsidP="00630210"/>
        </w:tc>
      </w:tr>
      <w:tr w:rsidR="000D6D16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D6D16" w:rsidRDefault="000D6D16" w:rsidP="00630210"/>
        </w:tc>
      </w:tr>
      <w:tr w:rsidR="00011236" w:rsidTr="008C43A9">
        <w:trPr>
          <w:trHeight w:val="624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Default="00011236" w:rsidP="00630210"/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r>
              <w:rPr>
                <w:noProof/>
                <w:lang w:val="sv-SE" w:eastAsia="sv-SE"/>
              </w:rPr>
              <w:drawing>
                <wp:inline distT="0" distB="0" distL="0" distR="0" wp14:anchorId="00649C8E" wp14:editId="2ED695D4">
                  <wp:extent cx="1847850" cy="345686"/>
                  <wp:effectExtent l="0" t="0" r="0" b="0"/>
                  <wp:docPr id="3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4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r w:rsidRPr="00634E50">
              <w:rPr>
                <w:noProof/>
                <w:lang w:val="sv-SE" w:eastAsia="sv-SE"/>
              </w:rPr>
              <w:drawing>
                <wp:inline distT="0" distB="0" distL="0" distR="0" wp14:anchorId="793EC03A" wp14:editId="776173F8">
                  <wp:extent cx="1371600" cy="271035"/>
                  <wp:effectExtent l="19050" t="0" r="0" b="0"/>
                  <wp:docPr id="5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pPr>
              <w:rPr>
                <w:noProof/>
                <w:lang w:eastAsia="it-IT"/>
              </w:rPr>
            </w:pPr>
            <w:r w:rsidRPr="00634E50">
              <w:rPr>
                <w:noProof/>
                <w:lang w:val="sv-SE" w:eastAsia="sv-SE"/>
              </w:rPr>
              <w:drawing>
                <wp:inline distT="0" distB="0" distL="0" distR="0" wp14:anchorId="70AAD785" wp14:editId="651AEED8">
                  <wp:extent cx="1549988" cy="466725"/>
                  <wp:effectExtent l="19050" t="0" r="0" b="0"/>
                  <wp:docPr id="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549B31A" wp14:editId="0768D619">
                  <wp:extent cx="1207380" cy="361950"/>
                  <wp:effectExtent l="19050" t="0" r="0" b="0"/>
                  <wp:docPr id="5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4" cy="36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BEA34E7" wp14:editId="42FC681F">
                  <wp:extent cx="4362450" cy="371475"/>
                  <wp:effectExtent l="19050" t="0" r="0" b="0"/>
                  <wp:docPr id="5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7A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47A" w:rsidRDefault="0062247A" w:rsidP="00630210">
            <w:pPr>
              <w:rPr>
                <w:noProof/>
                <w:lang w:eastAsia="it-IT"/>
              </w:rPr>
            </w:pPr>
          </w:p>
        </w:tc>
      </w:tr>
      <w:tr w:rsidR="00634E50" w:rsidTr="008C43A9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68333DCF" wp14:editId="10D71228">
                  <wp:extent cx="800100" cy="615462"/>
                  <wp:effectExtent l="19050" t="0" r="0" b="0"/>
                  <wp:docPr id="5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25E047D9" wp14:editId="283115F7">
                  <wp:extent cx="1276350" cy="560464"/>
                  <wp:effectExtent l="19050" t="0" r="0" b="0"/>
                  <wp:docPr id="5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E247F2A" wp14:editId="592F77AD">
                  <wp:extent cx="1600200" cy="516520"/>
                  <wp:effectExtent l="19050" t="0" r="0" b="0"/>
                  <wp:docPr id="60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</w:p>
        </w:tc>
      </w:tr>
      <w:tr w:rsidR="001B7A85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85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DFC" w:rsidRPr="0062247A" w:rsidRDefault="002D353D" w:rsidP="002D353D">
            <w:pPr>
              <w:tabs>
                <w:tab w:val="right" w:pos="7111"/>
              </w:tabs>
            </w:pPr>
            <w:bookmarkStart w:id="0" w:name="_GoBack"/>
            <w:bookmarkEnd w:id="0"/>
            <w:r w:rsidRPr="0062247A">
              <w:lastRenderedPageBreak/>
              <w:tab/>
            </w:r>
            <w:r w:rsidRPr="002D353D">
              <w:rPr>
                <w:noProof/>
                <w:lang w:val="sv-SE" w:eastAsia="sv-SE"/>
              </w:rPr>
              <w:drawing>
                <wp:inline distT="0" distB="0" distL="0" distR="0" wp14:anchorId="27DFF0A1" wp14:editId="551F11D3">
                  <wp:extent cx="727901" cy="304610"/>
                  <wp:effectExtent l="19050" t="0" r="0" b="0"/>
                  <wp:docPr id="15" name="Bild 3" descr="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39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3A9" w:rsidRPr="007108A6" w:rsidTr="0071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75"/>
        </w:trPr>
        <w:tc>
          <w:tcPr>
            <w:tcW w:w="697" w:type="dxa"/>
            <w:vAlign w:val="center"/>
          </w:tcPr>
          <w:p w:rsidR="007108A6" w:rsidRPr="00C1405A" w:rsidRDefault="007108A6" w:rsidP="00C1405A">
            <w:pPr>
              <w:jc w:val="center"/>
              <w:rPr>
                <w:noProof/>
                <w:color w:val="FF0000"/>
                <w:lang w:eastAsia="it-IT"/>
              </w:rPr>
            </w:pPr>
          </w:p>
        </w:tc>
        <w:tc>
          <w:tcPr>
            <w:tcW w:w="6712" w:type="dxa"/>
            <w:gridSpan w:val="5"/>
            <w:vAlign w:val="center"/>
          </w:tcPr>
          <w:p w:rsidR="008C43A9" w:rsidRPr="007108A6" w:rsidRDefault="00C1405A" w:rsidP="007108A6">
            <w:pPr>
              <w:pStyle w:val="Sidhuvud"/>
              <w:jc w:val="center"/>
              <w:rPr>
                <w:color w:val="FF0000"/>
                <w:sz w:val="15"/>
                <w:szCs w:val="15"/>
                <w:lang w:val="it-IT"/>
              </w:rPr>
            </w:pPr>
            <w:r>
              <w:rPr>
                <w:i/>
                <w:color w:val="FF0000"/>
                <w:sz w:val="28"/>
                <w:szCs w:val="32"/>
                <w:lang w:val="it-IT"/>
              </w:rPr>
              <w:t>Revalento</w:t>
            </w:r>
          </w:p>
        </w:tc>
      </w:tr>
      <w:tr w:rsidR="008C43A9" w:rsidRPr="00F93B73" w:rsidTr="008C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8" w:type="dxa"/>
          <w:trHeight w:val="283"/>
        </w:trPr>
        <w:tc>
          <w:tcPr>
            <w:tcW w:w="697" w:type="dxa"/>
            <w:vAlign w:val="center"/>
          </w:tcPr>
          <w:p w:rsidR="008C43A9" w:rsidRPr="00BB273B" w:rsidRDefault="008C43A9" w:rsidP="00CA4C13">
            <w:pPr>
              <w:pStyle w:val="Sidhuvud"/>
              <w:rPr>
                <w:i/>
                <w:spacing w:val="4"/>
                <w:sz w:val="24"/>
                <w:szCs w:val="28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8C43A9" w:rsidRPr="00F93B73" w:rsidRDefault="008C43A9" w:rsidP="00CA4C13">
            <w:pPr>
              <w:pStyle w:val="Sidhuvud"/>
              <w:tabs>
                <w:tab w:val="clear" w:pos="4536"/>
              </w:tabs>
              <w:rPr>
                <w:i/>
                <w:lang w:val="it-IT"/>
              </w:rPr>
            </w:pPr>
          </w:p>
        </w:tc>
      </w:tr>
      <w:tr w:rsidR="002D353D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8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53D" w:rsidRPr="00BB273B" w:rsidRDefault="002D353D" w:rsidP="002D353D">
            <w:pPr>
              <w:spacing w:line="300" w:lineRule="auto"/>
              <w:jc w:val="center"/>
              <w:rPr>
                <w:b/>
                <w:bCs/>
                <w:lang w:val="en-GB"/>
              </w:rPr>
            </w:pPr>
            <w:r w:rsidRPr="00BB273B">
              <w:rPr>
                <w:bCs/>
                <w:lang w:val="en-GB"/>
              </w:rPr>
              <w:t>Project:</w:t>
            </w:r>
            <w:r w:rsidRPr="00BB273B">
              <w:rPr>
                <w:b/>
                <w:bCs/>
                <w:lang w:val="en-GB"/>
              </w:rPr>
              <w:t xml:space="preserve"> “Expanding the quality ‘spirit’ of VET</w:t>
            </w:r>
          </w:p>
          <w:p w:rsidR="002D353D" w:rsidRPr="00BB273B" w:rsidRDefault="002D353D" w:rsidP="002D353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lang w:val="en-GB"/>
              </w:rPr>
            </w:pPr>
            <w:r w:rsidRPr="00BB273B">
              <w:rPr>
                <w:b/>
                <w:bCs/>
                <w:lang w:val="en-GB"/>
              </w:rPr>
              <w:t>Q &amp; VET</w:t>
            </w:r>
          </w:p>
          <w:p w:rsidR="002D353D" w:rsidRPr="00F93B73" w:rsidRDefault="002D353D" w:rsidP="00FC0F3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noProof/>
                <w:lang w:val="en-GB" w:eastAsia="it-IT"/>
              </w:rPr>
            </w:pPr>
            <w:r w:rsidRPr="00BB273B">
              <w:rPr>
                <w:bCs/>
                <w:i/>
                <w:lang w:val="en-GB"/>
              </w:rPr>
              <w:t>PROJECT NUMBER – 527399-LLP-1-2012-1-SE-LEONARDO-LMP</w:t>
            </w:r>
          </w:p>
        </w:tc>
      </w:tr>
      <w:tr w:rsidR="001B7A85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41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CEB" w:rsidRPr="002D353D" w:rsidRDefault="00F93B73" w:rsidP="000D6D16">
            <w:pPr>
              <w:jc w:val="center"/>
              <w:rPr>
                <w:lang w:val="en-GB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7F90FF1" wp14:editId="08E56573">
                  <wp:extent cx="4543425" cy="9048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B" w:rsidRPr="00C719C0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79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9A357C" w:rsidRDefault="009F6CEB" w:rsidP="009A357C">
            <w:pPr>
              <w:jc w:val="center"/>
              <w:rPr>
                <w:lang w:val="nn-NO"/>
              </w:rPr>
            </w:pPr>
            <w:r w:rsidRPr="009A357C">
              <w:rPr>
                <w:rFonts w:ascii="Calibri" w:hAnsi="Calibri" w:cs="Calibri"/>
                <w:b/>
                <w:i/>
                <w:color w:val="339933"/>
                <w:sz w:val="48"/>
                <w:szCs w:val="24"/>
                <w:lang w:val="nn-NO"/>
              </w:rPr>
              <w:t>Regional Seminar</w:t>
            </w:r>
            <w:r w:rsidR="009A357C" w:rsidRPr="009A357C">
              <w:rPr>
                <w:rFonts w:ascii="Calibri" w:hAnsi="Calibri" w:cs="Calibri"/>
                <w:b/>
                <w:i/>
                <w:color w:val="339933"/>
                <w:sz w:val="48"/>
                <w:szCs w:val="24"/>
                <w:lang w:val="nn-NO"/>
              </w:rPr>
              <w:t xml:space="preserve"> </w:t>
            </w:r>
            <w:r w:rsidRPr="009A357C">
              <w:rPr>
                <w:rFonts w:ascii="Calibri" w:hAnsi="Calibri" w:cs="Calibri"/>
                <w:b/>
                <w:i/>
                <w:color w:val="339933"/>
                <w:sz w:val="48"/>
                <w:szCs w:val="24"/>
                <w:lang w:val="nn-NO"/>
              </w:rPr>
              <w:t>for VET Providers</w:t>
            </w:r>
          </w:p>
        </w:tc>
      </w:tr>
      <w:tr w:rsidR="009F6CEB" w:rsidRPr="000146E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342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0146ED" w:rsidRDefault="009F6CEB" w:rsidP="002D353D">
            <w:pPr>
              <w:jc w:val="center"/>
              <w:rPr>
                <w:color w:val="FF0000"/>
                <w:sz w:val="40"/>
                <w:lang w:val="en-GB"/>
              </w:rPr>
            </w:pPr>
          </w:p>
        </w:tc>
      </w:tr>
      <w:tr w:rsidR="00FC0F38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58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38" w:rsidRDefault="00110465" w:rsidP="00626BE5">
            <w:pPr>
              <w:ind w:left="709" w:hanging="709"/>
              <w:jc w:val="center"/>
              <w:rPr>
                <w:lang w:val="en-GB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C8C2EAF" wp14:editId="68E7CEA8">
                  <wp:extent cx="3438525" cy="2202482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20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36" w:rsidRPr="009A357C" w:rsidRDefault="00011236" w:rsidP="00331766">
      <w:pPr>
        <w:rPr>
          <w:b/>
          <w:lang w:val="en-GB"/>
        </w:rPr>
      </w:pPr>
    </w:p>
    <w:sectPr w:rsidR="00011236" w:rsidRPr="009A357C" w:rsidSect="009B533E">
      <w:headerReference w:type="default" r:id="rId22"/>
      <w:headerReference w:type="first" r:id="rId23"/>
      <w:pgSz w:w="16838" w:h="11906" w:orient="landscape"/>
      <w:pgMar w:top="1134" w:right="536" w:bottom="1276" w:left="709" w:header="708" w:footer="708" w:gutter="0"/>
      <w:cols w:num="2" w:space="12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B" w:rsidRDefault="00615C8B" w:rsidP="00743E07">
      <w:pPr>
        <w:spacing w:after="0" w:line="240" w:lineRule="auto"/>
      </w:pPr>
      <w:r>
        <w:separator/>
      </w:r>
    </w:p>
  </w:endnote>
  <w:endnote w:type="continuationSeparator" w:id="0">
    <w:p w:rsidR="00615C8B" w:rsidRDefault="00615C8B" w:rsidP="007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B" w:rsidRDefault="00615C8B" w:rsidP="00743E07">
      <w:pPr>
        <w:spacing w:after="0" w:line="240" w:lineRule="auto"/>
      </w:pPr>
      <w:r>
        <w:separator/>
      </w:r>
    </w:p>
  </w:footnote>
  <w:footnote w:type="continuationSeparator" w:id="0">
    <w:p w:rsidR="00615C8B" w:rsidRDefault="00615C8B" w:rsidP="007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07" w:rsidRDefault="00743E0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506E78DC" wp14:editId="391F700E">
          <wp:simplePos x="0" y="0"/>
          <wp:positionH relativeFrom="column">
            <wp:posOffset>-421340</wp:posOffset>
          </wp:positionH>
          <wp:positionV relativeFrom="paragraph">
            <wp:posOffset>-189698</wp:posOffset>
          </wp:positionV>
          <wp:extent cx="10597415" cy="7045693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463" cy="705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07" w:rsidRDefault="00743E0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061AA4A7" wp14:editId="472B4CCB">
          <wp:simplePos x="0" y="0"/>
          <wp:positionH relativeFrom="column">
            <wp:posOffset>165735</wp:posOffset>
          </wp:positionH>
          <wp:positionV relativeFrom="paragraph">
            <wp:posOffset>7231380</wp:posOffset>
          </wp:positionV>
          <wp:extent cx="10080625" cy="7560310"/>
          <wp:effectExtent l="0" t="0" r="0" b="254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62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 wp14:anchorId="632DF570" wp14:editId="752DC6E4">
          <wp:simplePos x="0" y="0"/>
          <wp:positionH relativeFrom="column">
            <wp:posOffset>-478790</wp:posOffset>
          </wp:positionH>
          <wp:positionV relativeFrom="paragraph">
            <wp:posOffset>7221855</wp:posOffset>
          </wp:positionV>
          <wp:extent cx="9942830" cy="7456805"/>
          <wp:effectExtent l="0" t="0" r="127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-green-waves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2830" cy="745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783406AB" wp14:editId="7EF0D969">
          <wp:simplePos x="0" y="0"/>
          <wp:positionH relativeFrom="column">
            <wp:posOffset>-459840</wp:posOffset>
          </wp:positionH>
          <wp:positionV relativeFrom="paragraph">
            <wp:posOffset>-449580</wp:posOffset>
          </wp:positionV>
          <wp:extent cx="10729721" cy="7738712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_green_paint_background-oth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774" cy="7745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3"/>
    <w:rsid w:val="00011236"/>
    <w:rsid w:val="00011A71"/>
    <w:rsid w:val="000146ED"/>
    <w:rsid w:val="00040C41"/>
    <w:rsid w:val="0007654C"/>
    <w:rsid w:val="000D6D16"/>
    <w:rsid w:val="000E7D62"/>
    <w:rsid w:val="0010334C"/>
    <w:rsid w:val="00110465"/>
    <w:rsid w:val="00124D93"/>
    <w:rsid w:val="001759BD"/>
    <w:rsid w:val="001B7A85"/>
    <w:rsid w:val="001D2823"/>
    <w:rsid w:val="001E4AFC"/>
    <w:rsid w:val="00292EDC"/>
    <w:rsid w:val="0029556B"/>
    <w:rsid w:val="002D0687"/>
    <w:rsid w:val="002D353D"/>
    <w:rsid w:val="00331766"/>
    <w:rsid w:val="00396FB4"/>
    <w:rsid w:val="003A1C43"/>
    <w:rsid w:val="003E3F81"/>
    <w:rsid w:val="003F40D4"/>
    <w:rsid w:val="00401FA8"/>
    <w:rsid w:val="00411471"/>
    <w:rsid w:val="004D09A4"/>
    <w:rsid w:val="005174AC"/>
    <w:rsid w:val="005549CF"/>
    <w:rsid w:val="005A6BB6"/>
    <w:rsid w:val="00601C9D"/>
    <w:rsid w:val="00615C8B"/>
    <w:rsid w:val="0062247A"/>
    <w:rsid w:val="00626BE5"/>
    <w:rsid w:val="00634E50"/>
    <w:rsid w:val="00652DF2"/>
    <w:rsid w:val="00665B84"/>
    <w:rsid w:val="0068609C"/>
    <w:rsid w:val="007108A6"/>
    <w:rsid w:val="00731167"/>
    <w:rsid w:val="00743E07"/>
    <w:rsid w:val="00751787"/>
    <w:rsid w:val="00783178"/>
    <w:rsid w:val="0078560A"/>
    <w:rsid w:val="00853008"/>
    <w:rsid w:val="008C43A9"/>
    <w:rsid w:val="009A357C"/>
    <w:rsid w:val="009B533E"/>
    <w:rsid w:val="009F6CEB"/>
    <w:rsid w:val="00A16416"/>
    <w:rsid w:val="00A25042"/>
    <w:rsid w:val="00A954E5"/>
    <w:rsid w:val="00B127C9"/>
    <w:rsid w:val="00B418A4"/>
    <w:rsid w:val="00B45326"/>
    <w:rsid w:val="00B60595"/>
    <w:rsid w:val="00BF338E"/>
    <w:rsid w:val="00C1405A"/>
    <w:rsid w:val="00C719C0"/>
    <w:rsid w:val="00D241FA"/>
    <w:rsid w:val="00D33BBB"/>
    <w:rsid w:val="00D50944"/>
    <w:rsid w:val="00DB594A"/>
    <w:rsid w:val="00DE2DFC"/>
    <w:rsid w:val="00E733F8"/>
    <w:rsid w:val="00EA66A3"/>
    <w:rsid w:val="00F83177"/>
    <w:rsid w:val="00F93B73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74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74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el@revalento.n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ali.rashidi@folkuniversitetet.s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mailto:direzione-friuliveneziagiulia@istruzione.it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office@qualityaustria.com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690</Words>
  <Characters>3657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Uff.scol.reg.91</dc:creator>
  <cp:lastModifiedBy>Denis Riabov</cp:lastModifiedBy>
  <cp:revision>4</cp:revision>
  <cp:lastPrinted>2013-10-10T13:04:00Z</cp:lastPrinted>
  <dcterms:created xsi:type="dcterms:W3CDTF">2014-03-04T18:10:00Z</dcterms:created>
  <dcterms:modified xsi:type="dcterms:W3CDTF">2014-03-05T16:20:00Z</dcterms:modified>
</cp:coreProperties>
</file>